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C267B" w:rsidRDefault="00000000">
      <w:r>
        <w:t>AspenCh4 Supp2025</w:t>
      </w:r>
    </w:p>
    <w:p w14:paraId="00000002" w14:textId="77777777" w:rsidR="00AC267B" w:rsidRDefault="00000000">
      <w:r>
        <w:t xml:space="preserve">On page 185, add to note 3: The Supreme </w:t>
      </w:r>
      <w:proofErr w:type="gramStart"/>
      <w:r>
        <w:t>Court  heard</w:t>
      </w:r>
      <w:proofErr w:type="gramEnd"/>
      <w:r>
        <w:t xml:space="preserve"> oral arguments on April 1, 2026, in </w:t>
      </w:r>
      <w:r>
        <w:rPr>
          <w:i/>
          <w:iCs/>
        </w:rPr>
        <w:t xml:space="preserve">Trump v. Barbara, </w:t>
      </w:r>
      <w:r>
        <w:t>a challenge to President Trump’s efforts to end birthright citizenship.</w:t>
      </w:r>
    </w:p>
    <w:p w14:paraId="46123498" w14:textId="77777777" w:rsidR="009D79C8" w:rsidRDefault="009D79C8"/>
    <w:p w14:paraId="025BB934" w14:textId="65F5933F" w:rsidR="009D79C8" w:rsidRDefault="009D79C8">
      <w:r>
        <w:t>On page 186 before Part III Naturalization, add this:</w:t>
      </w:r>
    </w:p>
    <w:p w14:paraId="49DFBAE1" w14:textId="0B6D0CD7" w:rsidR="009D79C8" w:rsidRDefault="009D79C8">
      <w:r>
        <w:t>4. After the passage of the Fourteenth Amendment, but before the Wong Kim Ark decision, a Native American who was born in the United States was denied birthright citizenship in this case.</w:t>
      </w:r>
    </w:p>
    <w:p w14:paraId="38FE74C6" w14:textId="77777777" w:rsidR="009D79C8" w:rsidRDefault="009D79C8" w:rsidP="009D79C8">
      <w:pPr>
        <w:spacing w:line="240" w:lineRule="auto"/>
        <w:jc w:val="center"/>
      </w:pPr>
      <w:r>
        <w:t>Elk v. Wilkins</w:t>
      </w:r>
    </w:p>
    <w:p w14:paraId="14D2B3D0" w14:textId="77777777" w:rsidR="009D79C8" w:rsidRDefault="009D79C8" w:rsidP="009D79C8">
      <w:pPr>
        <w:spacing w:line="240" w:lineRule="auto"/>
        <w:jc w:val="center"/>
      </w:pPr>
      <w:r>
        <w:t>112 U.S. 94 (1884)</w:t>
      </w:r>
    </w:p>
    <w:p w14:paraId="7248EAE8" w14:textId="77777777" w:rsidR="009D79C8" w:rsidRDefault="009D79C8" w:rsidP="009D79C8">
      <w:pPr>
        <w:widowControl w:val="0"/>
        <w:autoSpaceDE w:val="0"/>
        <w:autoSpaceDN w:val="0"/>
        <w:adjustRightInd w:val="0"/>
        <w:spacing w:before="200" w:after="0" w:line="240" w:lineRule="auto"/>
        <w:rPr>
          <w:rFonts w:ascii="Times New Roman" w:hAnsi="Times New Roman" w:cs="Times New Roman"/>
          <w:b/>
          <w:bCs/>
          <w:color w:val="212121"/>
          <w:sz w:val="20"/>
          <w:szCs w:val="20"/>
        </w:rPr>
      </w:pPr>
      <w:r>
        <w:rPr>
          <w:rFonts w:ascii="Times New Roman" w:hAnsi="Times New Roman" w:cs="Times New Roman"/>
          <w:b/>
          <w:bCs/>
          <w:color w:val="212121"/>
          <w:sz w:val="20"/>
          <w:szCs w:val="20"/>
        </w:rPr>
        <w:t>Opinion</w:t>
      </w:r>
    </w:p>
    <w:p w14:paraId="7268B6E5"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bookmarkStart w:id="0" w:name="co_anchor_I8993f970405b11dca51ecfdfa1ed2"/>
      <w:bookmarkEnd w:id="0"/>
    </w:p>
    <w:p w14:paraId="363D6FB2" w14:textId="77777777" w:rsidR="009D79C8" w:rsidRDefault="009D79C8" w:rsidP="009D79C8">
      <w:pPr>
        <w:widowControl w:val="0"/>
        <w:autoSpaceDE w:val="0"/>
        <w:autoSpaceDN w:val="0"/>
        <w:adjustRightInd w:val="0"/>
        <w:spacing w:before="200" w:after="200" w:line="240" w:lineRule="auto"/>
        <w:rPr>
          <w:rFonts w:ascii="Times New Roman" w:hAnsi="Times New Roman" w:cs="Times New Roman"/>
          <w:color w:val="1F1F1F"/>
          <w:sz w:val="20"/>
          <w:szCs w:val="20"/>
        </w:rPr>
      </w:pPr>
      <w:bookmarkStart w:id="1" w:name="co_pp_sp_780_98_1"/>
      <w:bookmarkEnd w:id="1"/>
      <w:r>
        <w:rPr>
          <w:rFonts w:ascii="Times New Roman" w:hAnsi="Times New Roman" w:cs="Times New Roman"/>
          <w:color w:val="1F1F1F"/>
          <w:sz w:val="20"/>
          <w:szCs w:val="20"/>
        </w:rPr>
        <w:t>GRAY, J.</w:t>
      </w:r>
    </w:p>
    <w:p w14:paraId="6DF2C6EB"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bookmarkStart w:id="2" w:name="co_anchor_I8993f972405b11dca51ecfdfa1ed2"/>
      <w:bookmarkEnd w:id="2"/>
    </w:p>
    <w:p w14:paraId="15C61B9C"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bookmarkStart w:id="3" w:name="co_pp_sp_780_94_1"/>
      <w:bookmarkEnd w:id="3"/>
      <w:r>
        <w:rPr>
          <w:rFonts w:ascii="Times New Roman" w:hAnsi="Times New Roman" w:cs="Times New Roman"/>
          <w:color w:val="1F1F1F"/>
          <w:sz w:val="20"/>
          <w:szCs w:val="20"/>
        </w:rPr>
        <w:t xml:space="preserve">This is an action brought by an Indian, in the circuit court of the United States for the district of Nebraska, against the registrar of one of the wards of the city of Omaha, for refusing to register him as a qualified voter therein. The petition was as follows: </w:t>
      </w:r>
      <w:bookmarkStart w:id="4" w:name="co_pp_sp_780_95_1"/>
      <w:bookmarkEnd w:id="4"/>
      <w:r>
        <w:rPr>
          <w:rFonts w:ascii="Times New Roman" w:hAnsi="Times New Roman" w:cs="Times New Roman"/>
          <w:color w:val="1F1F1F"/>
          <w:sz w:val="20"/>
          <w:szCs w:val="20"/>
        </w:rPr>
        <w:t xml:space="preserve">‘John Elk, plaintiff, complains of Charles Wilkins, defendant, and avers that the matter in dispute herein exceeds the sum of five hundred dollars, to-wit, the sum of six thousand dollars, and that the matter in dispute herein arises under the constitution and laws of the United States; and, for cause of action against the defendant, avers that he, the plaintiff, is an Indian, and was born within the United States; that more than one year prior to the grievances hereinafter complained of he had severed his tribal relation to the Indian tribes, and had fully and completely surrendered himself to the jurisdiction of the United States, and still so continues subject to the jurisdiction of the United States; and avers that, under and by virtue of the fourteenth amendment to the constitution of the United States, he is a citizen of the United States, and entitled to the right and privilege of citizens of the United States. That on the sixth day of April, 1880, there was held in the city of Omaha (a city of the first class, incorporated under the general laws of the state of Nebraska, providing for the incorporation of cities of the first class) a general election for the election of members of the city council and other officers for said city. That the defendant, Charles Wilkins, held the office of and acted as registrar in the Fifth ward of said city, and that as such registrar it was the duty of such defendant to register the names of all persons entitled to exercise the elective franchise in said ward of said city at said general election. That this plaintiff was a citizen of and had been a </w:t>
      </w:r>
      <w:r>
        <w:rPr>
          <w:rFonts w:ascii="Times New Roman" w:hAnsi="Times New Roman" w:cs="Times New Roman"/>
          <w:i/>
          <w:iCs/>
          <w:color w:val="1F1F1F"/>
          <w:sz w:val="20"/>
          <w:szCs w:val="20"/>
        </w:rPr>
        <w:t>bona fide</w:t>
      </w:r>
      <w:r>
        <w:rPr>
          <w:rFonts w:ascii="Times New Roman" w:hAnsi="Times New Roman" w:cs="Times New Roman"/>
          <w:color w:val="1F1F1F"/>
          <w:sz w:val="20"/>
          <w:szCs w:val="20"/>
        </w:rPr>
        <w:t xml:space="preserve"> resident of the state of Nebraska for more than six months prior to said sixth day of April, 1880, and had been a </w:t>
      </w:r>
      <w:r>
        <w:rPr>
          <w:rFonts w:ascii="Times New Roman" w:hAnsi="Times New Roman" w:cs="Times New Roman"/>
          <w:i/>
          <w:iCs/>
          <w:color w:val="1F1F1F"/>
          <w:sz w:val="20"/>
          <w:szCs w:val="20"/>
        </w:rPr>
        <w:t>Bona fide</w:t>
      </w:r>
      <w:r>
        <w:rPr>
          <w:rFonts w:ascii="Times New Roman" w:hAnsi="Times New Roman" w:cs="Times New Roman"/>
          <w:color w:val="1F1F1F"/>
          <w:sz w:val="20"/>
          <w:szCs w:val="20"/>
        </w:rPr>
        <w:t xml:space="preserve"> resident of Douglas county, wherein the city of Omaha is situate, for more than forty days, and in the Fifth ward of said city more than ten days prior to the said sixth day of April, and was such citizen and resident at the time of said election, and at the time of his attempted registration, as hereinafter set forth, and was in every way qualified, under the laws of the state of Nebraska and of the city of Omaha, to be registered as a voter, and to cast a vote at said election, and complied with the laws of the city and state in that behalf. That on or about the fifth day of April, 1880, and prior to said election, this plaintiff presented himself to said Charles Wilkins, as such registrar, at his office, for the purpose of having his name registered as a qualified voter, as provided by law, and complied with all the provisions of the statutes in that regard, and claimed that, under the fourteenth and fifteenth amendments to the constitution of the United States, he was a citizen of the United States, and was entitled to exercise the elective franchise, regardless of his race and color; and that said Wilkins, designedly, corruptly, willfully, and maliciously, did then and there refuse to register this plaintiff, for the sole reason that the plaintiff was an Indian, and therefore not a citizen of the United States, and not, therefore, entitled to vote, and on account of his race and color, and with the willful, malicious, corrupt, and unlawful design to deprive this plaintiff of his right to vote at said election, and of his rights, and all other Indians of their rights, under said fourteenth and fifteenth amendments to the constitution </w:t>
      </w:r>
      <w:r>
        <w:rPr>
          <w:rFonts w:ascii="Times New Roman" w:hAnsi="Times New Roman" w:cs="Times New Roman"/>
          <w:color w:val="1F1F1F"/>
          <w:sz w:val="20"/>
          <w:szCs w:val="20"/>
        </w:rPr>
        <w:lastRenderedPageBreak/>
        <w:t xml:space="preserve">of the United States, on account of his and their race and color. That on the sixth day of April this plaintiff presented himself at the place of voting in said ward, and presented a ballot, and requested the right to vote, where said Wilkins, who was then acting as one of the judges of said election in said ward, in further carrying out his willful and malicious designs as aforesaid, declared to the plaintiff and to the other election officers that the plaintiff was an Indian, and not a citizen, and not entitled to vote, and said judges and clerks of election refused to receive the vote of the plaintiff, </w:t>
      </w:r>
      <w:bookmarkStart w:id="5" w:name="co_pp_sp_708_43_1"/>
      <w:bookmarkEnd w:id="5"/>
      <w:r>
        <w:rPr>
          <w:rFonts w:ascii="Times New Roman" w:hAnsi="Times New Roman" w:cs="Times New Roman"/>
          <w:color w:val="1F1F1F"/>
          <w:sz w:val="20"/>
          <w:szCs w:val="20"/>
        </w:rPr>
        <w:t>for that he was not registered as required by law. Plaintiff avers the fact to be that by reason of said willful, unlawful, corrupt, and malicious refusal of said defendant to register this plaintiff, as provided by law, he was deprived of his right to vote at said election, to his damage in the sum of $6,000. Wherefore, plaintiff prays judgment against defendant for $6,000, his damages, with costs of suit.’</w:t>
      </w:r>
    </w:p>
    <w:p w14:paraId="6C1DFB6C"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55435093"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The defendant filed a general demurrer for the following causes: (1) That the petition did not state facts sufficient to constitute a cause of action; (2) that the court had no jurisdiction of the person of the defendant; (3) that the court had no jurisdiction of the subject of the action. The demurrer was argued before Judge </w:t>
      </w:r>
      <w:proofErr w:type="spellStart"/>
      <w:r>
        <w:rPr>
          <w:rFonts w:ascii="Times New Roman" w:hAnsi="Times New Roman" w:cs="Times New Roman"/>
          <w:color w:val="1F1F1F"/>
          <w:sz w:val="20"/>
          <w:szCs w:val="20"/>
        </w:rPr>
        <w:t>McCRARY</w:t>
      </w:r>
      <w:proofErr w:type="spellEnd"/>
      <w:r>
        <w:rPr>
          <w:rFonts w:ascii="Times New Roman" w:hAnsi="Times New Roman" w:cs="Times New Roman"/>
          <w:color w:val="1F1F1F"/>
          <w:sz w:val="20"/>
          <w:szCs w:val="20"/>
        </w:rPr>
        <w:t xml:space="preserve"> and Judge DUNDY, and sustained; and, the plaintiff electing to stand by his petition, judgment was rendered for the defendant, dismissing the petition, with costs. The plaintiff sued out this writ of error.</w:t>
      </w:r>
    </w:p>
    <w:p w14:paraId="1276F870"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79259CC7"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By the constitution of the state of Nebraska, art. 7, § 1, ‘every male person of the age of twenty-one years or upwards, belonging to either of the following classes, who shall have resided in the state six months, and in the county, precinct, or ward for the term provided by law, shall be an elector: </w:t>
      </w:r>
      <w:r>
        <w:rPr>
          <w:rFonts w:ascii="Times New Roman" w:hAnsi="Times New Roman" w:cs="Times New Roman"/>
          <w:i/>
          <w:iCs/>
          <w:color w:val="1F1F1F"/>
          <w:sz w:val="20"/>
          <w:szCs w:val="20"/>
        </w:rPr>
        <w:t>First</w:t>
      </w:r>
      <w:r>
        <w:rPr>
          <w:rFonts w:ascii="Times New Roman" w:hAnsi="Times New Roman" w:cs="Times New Roman"/>
          <w:color w:val="1F1F1F"/>
          <w:sz w:val="20"/>
          <w:szCs w:val="20"/>
        </w:rPr>
        <w:t xml:space="preserve">, citizens of the United States; </w:t>
      </w:r>
      <w:r>
        <w:rPr>
          <w:rFonts w:ascii="Times New Roman" w:hAnsi="Times New Roman" w:cs="Times New Roman"/>
          <w:i/>
          <w:iCs/>
          <w:color w:val="1F1F1F"/>
          <w:sz w:val="20"/>
          <w:szCs w:val="20"/>
        </w:rPr>
        <w:t>second</w:t>
      </w:r>
      <w:r>
        <w:rPr>
          <w:rFonts w:ascii="Times New Roman" w:hAnsi="Times New Roman" w:cs="Times New Roman"/>
          <w:color w:val="1F1F1F"/>
          <w:sz w:val="20"/>
          <w:szCs w:val="20"/>
        </w:rPr>
        <w:t xml:space="preserve">, persons of foreign birth who shall have declared their intention to become citizens, conformably to the laws of the United States on the subject of naturalization, at least thirty days prior to an election.’ By the statutes of Nebraska, every male person of the age of 21 years or upward, belonging to either of the two classes so defined in the constitution of the state, who shall have resided in the state 6 months, in the county 40 days, and in the precinct, township, or ward 10 days, shall be an elector; the qualifications of electors in the several wards of cities of the first class (of which Omaha is one) shall be the same as in precincts; it is the duty of the registrar to enter in the register of qualified voters the name of every person who applies to him to be registered, and satisfies him that he is qualified to vote under the provisions of the election laws of the state; and at all municipal, as well as county or state elections, the judges of election are required to check the name, and receive and deposit the ballot, of any person whose name appears on the register. Comp. St. Neb. 1881,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26, § 3;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13, § 14;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76, §§ 6, 13, 19.</w:t>
      </w:r>
    </w:p>
    <w:p w14:paraId="32FC720F"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19B0755B"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The plaintiff, in support of his action, relies on the first clause of the first section of the fourteenth article of amendment of the constitution of the United States, by which ‘all persons born or naturalized in the United States, and subject to the jurisdiction thereof, are citizens of the United States and of the state wherein they reside;’ and on the fifteenth article of amendment, which provides that ‘the right of citizens of the United States to vote shall not be denied or abridged by the United States or by any state on account of race, color, or previous condition of servitude.’ This being a suit at common law in which the matter in dispute exceeds $500, arising under the constitution of the United States, the circuit court had jurisdiction of it under the act of March 3, 1875,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137, § 1, even if the parties were citizens of the same state. 18 </w:t>
      </w:r>
      <w:hyperlink r:id="rId8" w:history="1">
        <w:r>
          <w:rPr>
            <w:rFonts w:ascii="Times New Roman" w:hAnsi="Times New Roman" w:cs="Times New Roman"/>
            <w:color w:val="006FC4"/>
            <w:sz w:val="20"/>
            <w:szCs w:val="20"/>
          </w:rPr>
          <w:t xml:space="preserve">St. 470; </w:t>
        </w:r>
        <w:r>
          <w:rPr>
            <w:rFonts w:ascii="Times New Roman" w:hAnsi="Times New Roman" w:cs="Times New Roman"/>
            <w:i/>
            <w:iCs/>
            <w:color w:val="006FC4"/>
            <w:sz w:val="20"/>
            <w:szCs w:val="20"/>
          </w:rPr>
          <w:t>Ames</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Kansas</w:t>
        </w:r>
        <w:r>
          <w:rPr>
            <w:rFonts w:ascii="Times New Roman" w:hAnsi="Times New Roman" w:cs="Times New Roman"/>
            <w:color w:val="006FC4"/>
            <w:sz w:val="20"/>
            <w:szCs w:val="20"/>
          </w:rPr>
          <w:t>, 111 U. S. 449;</w:t>
        </w:r>
      </w:hyperlink>
      <w:r>
        <w:rPr>
          <w:rFonts w:ascii="Times New Roman" w:hAnsi="Times New Roman" w:cs="Times New Roman"/>
          <w:color w:val="1F1F1F"/>
          <w:sz w:val="20"/>
          <w:szCs w:val="20"/>
        </w:rPr>
        <w:t xml:space="preserve"> </w:t>
      </w:r>
      <w:hyperlink r:id="rId9" w:history="1">
        <w:r>
          <w:rPr>
            <w:rFonts w:ascii="Times New Roman" w:hAnsi="Times New Roman" w:cs="Times New Roman"/>
            <w:color w:val="006FC4"/>
            <w:sz w:val="20"/>
            <w:szCs w:val="20"/>
          </w:rPr>
          <w:t>S. C. 4 SUP. CT. REP. 437.</w:t>
        </w:r>
      </w:hyperlink>
      <w:r>
        <w:rPr>
          <w:rFonts w:ascii="Times New Roman" w:hAnsi="Times New Roman" w:cs="Times New Roman"/>
          <w:color w:val="1F1F1F"/>
          <w:sz w:val="20"/>
          <w:szCs w:val="20"/>
        </w:rPr>
        <w:t xml:space="preserve"> The judgment of that court, dismissing the action with costs, must have proceeded upon the merits, for if the dismissal had been for want of jurisdiction, no costs could have been awarded. </w:t>
      </w:r>
      <w:hyperlink r:id="rId10" w:history="1">
        <w:r>
          <w:rPr>
            <w:rFonts w:ascii="Times New Roman" w:hAnsi="Times New Roman" w:cs="Times New Roman"/>
            <w:i/>
            <w:iCs/>
            <w:color w:val="006FC4"/>
            <w:sz w:val="20"/>
            <w:szCs w:val="20"/>
          </w:rPr>
          <w:t>Mayor</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Cooper</w:t>
        </w:r>
        <w:r>
          <w:rPr>
            <w:rFonts w:ascii="Times New Roman" w:hAnsi="Times New Roman" w:cs="Times New Roman"/>
            <w:color w:val="006FC4"/>
            <w:sz w:val="20"/>
            <w:szCs w:val="20"/>
          </w:rPr>
          <w:t>, 6 Wall. 247;</w:t>
        </w:r>
      </w:hyperlink>
      <w:r>
        <w:rPr>
          <w:rFonts w:ascii="Times New Roman" w:hAnsi="Times New Roman" w:cs="Times New Roman"/>
          <w:color w:val="1F1F1F"/>
          <w:sz w:val="20"/>
          <w:szCs w:val="20"/>
        </w:rPr>
        <w:t xml:space="preserve"> </w:t>
      </w:r>
      <w:hyperlink r:id="rId11" w:history="1">
        <w:r>
          <w:rPr>
            <w:rFonts w:ascii="Times New Roman" w:hAnsi="Times New Roman" w:cs="Times New Roman"/>
            <w:i/>
            <w:iCs/>
            <w:color w:val="006FC4"/>
            <w:sz w:val="20"/>
            <w:szCs w:val="20"/>
          </w:rPr>
          <w:t>Mansfield, C. &amp; L. M. Ry.</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Swan</w:t>
        </w:r>
        <w:r>
          <w:rPr>
            <w:rFonts w:ascii="Times New Roman" w:hAnsi="Times New Roman" w:cs="Times New Roman"/>
            <w:color w:val="006FC4"/>
            <w:sz w:val="20"/>
            <w:szCs w:val="20"/>
          </w:rPr>
          <w:t>, 111 U. S. 379;</w:t>
        </w:r>
      </w:hyperlink>
      <w:r>
        <w:rPr>
          <w:rFonts w:ascii="Times New Roman" w:hAnsi="Times New Roman" w:cs="Times New Roman"/>
          <w:color w:val="1F1F1F"/>
          <w:sz w:val="20"/>
          <w:szCs w:val="20"/>
        </w:rPr>
        <w:t xml:space="preserve"> </w:t>
      </w:r>
      <w:hyperlink r:id="rId12" w:history="1">
        <w:r>
          <w:rPr>
            <w:rFonts w:ascii="Times New Roman" w:hAnsi="Times New Roman" w:cs="Times New Roman"/>
            <w:color w:val="006FC4"/>
            <w:sz w:val="20"/>
            <w:szCs w:val="20"/>
          </w:rPr>
          <w:t>S. C. 4 SUP. CT. REP. 510.</w:t>
        </w:r>
      </w:hyperlink>
      <w:r>
        <w:rPr>
          <w:rFonts w:ascii="Times New Roman" w:hAnsi="Times New Roman" w:cs="Times New Roman"/>
          <w:color w:val="1F1F1F"/>
          <w:sz w:val="20"/>
          <w:szCs w:val="20"/>
        </w:rPr>
        <w:t xml:space="preserve"> And the only point argued by the defendant in this court is whether the petition sets forth facts enough to constitute a cause of action. The decision of this point, as both parties assume in their briefs, depends upon the question whether the legal conclusion, that under and by virtue of the fourteenth amendment of the constitution the plaintiff is a citizen of the United States, is supported by the facts alleged in the petition and admitted by the demurrer, to-wit: The plaintiff is an Indian, and was born in the United States, and has severed his </w:t>
      </w:r>
      <w:bookmarkStart w:id="6" w:name="co_pp_sp_708_44_1"/>
      <w:bookmarkEnd w:id="6"/>
      <w:r>
        <w:rPr>
          <w:rFonts w:ascii="Times New Roman" w:hAnsi="Times New Roman" w:cs="Times New Roman"/>
          <w:color w:val="1F1F1F"/>
          <w:sz w:val="20"/>
          <w:szCs w:val="20"/>
        </w:rPr>
        <w:t xml:space="preserve">tribal relation to the Indian tribes, and fully and completely surrendered himself to the jurisdiction of the United States, and still continues to be subject to the jurisdiction of the United States, and is a </w:t>
      </w:r>
      <w:r>
        <w:rPr>
          <w:rFonts w:ascii="Times New Roman" w:hAnsi="Times New Roman" w:cs="Times New Roman"/>
          <w:i/>
          <w:iCs/>
          <w:color w:val="1F1F1F"/>
          <w:sz w:val="20"/>
          <w:szCs w:val="20"/>
        </w:rPr>
        <w:t>bona fide</w:t>
      </w:r>
      <w:r>
        <w:rPr>
          <w:rFonts w:ascii="Times New Roman" w:hAnsi="Times New Roman" w:cs="Times New Roman"/>
          <w:color w:val="1F1F1F"/>
          <w:sz w:val="20"/>
          <w:szCs w:val="20"/>
        </w:rPr>
        <w:t xml:space="preserve"> resident of the state of Nebraska and city of Omaha. The petition, while it does not show of what Indian tribe the plaintiff was a member, yet, by the allegations that he ‘is</w:t>
      </w:r>
      <w:bookmarkStart w:id="7" w:name="co_pp_sp_780_99_1"/>
      <w:bookmarkEnd w:id="7"/>
      <w:r>
        <w:rPr>
          <w:rFonts w:ascii="Times New Roman" w:hAnsi="Times New Roman" w:cs="Times New Roman"/>
          <w:color w:val="1F1F1F"/>
          <w:sz w:val="20"/>
          <w:szCs w:val="20"/>
        </w:rPr>
        <w:t xml:space="preserve"> an Indian, and was born within the United States,’ and that ‘he had severed his tribal relations to the Indian tribes,’ clearly implies that he was born a member of one of the Indian tribes within the limits of the United States which still exists and is recognized as a tribe by the government of the United States. Though the plaintiff alleges that he ‘had fully and completely surrendered himself to the jurisdiction of the United States,’ he does not allege that the United States accepted his surrender, or that he has ever been naturalized, or taxed, or in any way recognized or treated as a citizen by the state or by the United States. Nor is it contended by his counsel that there is any statute or treaty that makes him a citizen.</w:t>
      </w:r>
    </w:p>
    <w:p w14:paraId="2192D79D"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19665451"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lastRenderedPageBreak/>
        <w:t xml:space="preserve">The question then is, whether an Indian, born a member of one of the Indian tribes within the United States, is, merely by reason of his birth within the United States, and of his afterwards voluntarily separating himself from his tribe and taking up his residence among white citizens, a citizen of the United States, within the meaning of the first section of the fourteenth amendment of the constitution. Under the constitution of the United States, as originally established, ‘Indians not taxed’ were excluded from the persons according to whose numbers representatives and direct taxes were apportioned among the several states; and congress had and exercised the power to regulate commerce with the Indian tribes, and the members thereof, whether within or without the boundaries of one of the states of the Union. The Indian tribes, being within the territorial limits of the United States, were not, strictly speaking, foreign states; but they were alien nations, distinct political communities, with whom the United States might and habitually did deal, as they thought fit, either through treaties made by the president and senate, or through acts of congress in the ordinary forms of legislation. The members of those tribes owed immediate allegiance to their several tribes, and were not part of the people of the United States. They were in a dependent condition, a state of pupilage, resembling that of a ward to his guardian. Indians and their property, exempt from taxation by treaty or statute of the United States, could not be taxed </w:t>
      </w:r>
      <w:bookmarkStart w:id="8" w:name="co_pp_sp_780_100_1"/>
      <w:bookmarkEnd w:id="8"/>
      <w:r>
        <w:rPr>
          <w:rFonts w:ascii="Times New Roman" w:hAnsi="Times New Roman" w:cs="Times New Roman"/>
          <w:color w:val="1F1F1F"/>
          <w:sz w:val="20"/>
          <w:szCs w:val="20"/>
        </w:rPr>
        <w:t xml:space="preserve">by any state. General acts of congress did not apply to Indians, unless so expressed as to clearly manifest an intention to include them. Const. art. 1, §§ 2, 8; art. 2, § 2; </w:t>
      </w:r>
      <w:hyperlink r:id="rId13" w:history="1">
        <w:r>
          <w:rPr>
            <w:rFonts w:ascii="Times New Roman" w:hAnsi="Times New Roman" w:cs="Times New Roman"/>
            <w:i/>
            <w:iCs/>
            <w:color w:val="006FC4"/>
            <w:sz w:val="20"/>
            <w:szCs w:val="20"/>
          </w:rPr>
          <w:t>Cherokee Nation</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Georgia</w:t>
        </w:r>
        <w:r>
          <w:rPr>
            <w:rFonts w:ascii="Times New Roman" w:hAnsi="Times New Roman" w:cs="Times New Roman"/>
            <w:color w:val="006FC4"/>
            <w:sz w:val="20"/>
            <w:szCs w:val="20"/>
          </w:rPr>
          <w:t>, 5 Pet. 1;</w:t>
        </w:r>
      </w:hyperlink>
      <w:r>
        <w:rPr>
          <w:rFonts w:ascii="Times New Roman" w:hAnsi="Times New Roman" w:cs="Times New Roman"/>
          <w:color w:val="1F1F1F"/>
          <w:sz w:val="20"/>
          <w:szCs w:val="20"/>
        </w:rPr>
        <w:t xml:space="preserve"> </w:t>
      </w:r>
      <w:hyperlink r:id="rId14" w:history="1">
        <w:r>
          <w:rPr>
            <w:rFonts w:ascii="Times New Roman" w:hAnsi="Times New Roman" w:cs="Times New Roman"/>
            <w:i/>
            <w:iCs/>
            <w:color w:val="006FC4"/>
            <w:sz w:val="20"/>
            <w:szCs w:val="20"/>
          </w:rPr>
          <w:t>Worcester</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Georgia</w:t>
        </w:r>
        <w:r>
          <w:rPr>
            <w:rFonts w:ascii="Times New Roman" w:hAnsi="Times New Roman" w:cs="Times New Roman"/>
            <w:color w:val="006FC4"/>
            <w:sz w:val="20"/>
            <w:szCs w:val="20"/>
          </w:rPr>
          <w:t>, 6 Pet. 515;</w:t>
        </w:r>
      </w:hyperlink>
      <w:r>
        <w:rPr>
          <w:rFonts w:ascii="Times New Roman" w:hAnsi="Times New Roman" w:cs="Times New Roman"/>
          <w:color w:val="1F1F1F"/>
          <w:sz w:val="20"/>
          <w:szCs w:val="20"/>
        </w:rPr>
        <w:t xml:space="preserve"> </w:t>
      </w:r>
      <w:hyperlink r:id="rId15" w:history="1">
        <w:r>
          <w:rPr>
            <w:rFonts w:ascii="Times New Roman" w:hAnsi="Times New Roman" w:cs="Times New Roman"/>
            <w:i/>
            <w:iCs/>
            <w:color w:val="006FC4"/>
            <w:sz w:val="20"/>
            <w:szCs w:val="20"/>
          </w:rPr>
          <w:t>U. S.</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Rogers</w:t>
        </w:r>
        <w:r>
          <w:rPr>
            <w:rFonts w:ascii="Times New Roman" w:hAnsi="Times New Roman" w:cs="Times New Roman"/>
            <w:color w:val="006FC4"/>
            <w:sz w:val="20"/>
            <w:szCs w:val="20"/>
          </w:rPr>
          <w:t>, 4 How. 567;</w:t>
        </w:r>
      </w:hyperlink>
      <w:r>
        <w:rPr>
          <w:rFonts w:ascii="Times New Roman" w:hAnsi="Times New Roman" w:cs="Times New Roman"/>
          <w:color w:val="1F1F1F"/>
          <w:sz w:val="20"/>
          <w:szCs w:val="20"/>
        </w:rPr>
        <w:t xml:space="preserve"> </w:t>
      </w:r>
      <w:hyperlink r:id="rId16" w:history="1">
        <w:r>
          <w:rPr>
            <w:rFonts w:ascii="Times New Roman" w:hAnsi="Times New Roman" w:cs="Times New Roman"/>
            <w:i/>
            <w:iCs/>
            <w:color w:val="006FC4"/>
            <w:sz w:val="20"/>
            <w:szCs w:val="20"/>
          </w:rPr>
          <w:t>U. S.</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Holliday</w:t>
        </w:r>
        <w:r>
          <w:rPr>
            <w:rFonts w:ascii="Times New Roman" w:hAnsi="Times New Roman" w:cs="Times New Roman"/>
            <w:color w:val="006FC4"/>
            <w:sz w:val="20"/>
            <w:szCs w:val="20"/>
          </w:rPr>
          <w:t>, 3 Wall. 407;</w:t>
        </w:r>
      </w:hyperlink>
      <w:r>
        <w:rPr>
          <w:rFonts w:ascii="Times New Roman" w:hAnsi="Times New Roman" w:cs="Times New Roman"/>
          <w:color w:val="1F1F1F"/>
          <w:sz w:val="20"/>
          <w:szCs w:val="20"/>
        </w:rPr>
        <w:t xml:space="preserve"> </w:t>
      </w:r>
      <w:hyperlink r:id="rId17" w:history="1">
        <w:r>
          <w:rPr>
            <w:rFonts w:ascii="Times New Roman" w:hAnsi="Times New Roman" w:cs="Times New Roman"/>
            <w:i/>
            <w:iCs/>
            <w:color w:val="006FC4"/>
            <w:sz w:val="20"/>
            <w:szCs w:val="20"/>
          </w:rPr>
          <w:t>Case of the Kansas Indians</w:t>
        </w:r>
        <w:r>
          <w:rPr>
            <w:rFonts w:ascii="Times New Roman" w:hAnsi="Times New Roman" w:cs="Times New Roman"/>
            <w:color w:val="006FC4"/>
            <w:sz w:val="20"/>
            <w:szCs w:val="20"/>
          </w:rPr>
          <w:t>, 5 Wall. 737;</w:t>
        </w:r>
      </w:hyperlink>
      <w:r>
        <w:rPr>
          <w:rFonts w:ascii="Times New Roman" w:hAnsi="Times New Roman" w:cs="Times New Roman"/>
          <w:color w:val="1F1F1F"/>
          <w:sz w:val="20"/>
          <w:szCs w:val="20"/>
        </w:rPr>
        <w:t xml:space="preserve"> </w:t>
      </w:r>
      <w:hyperlink r:id="rId18" w:history="1">
        <w:r>
          <w:rPr>
            <w:rFonts w:ascii="Times New Roman" w:hAnsi="Times New Roman" w:cs="Times New Roman"/>
            <w:i/>
            <w:iCs/>
            <w:color w:val="006FC4"/>
            <w:sz w:val="20"/>
            <w:szCs w:val="20"/>
          </w:rPr>
          <w:t>Case of the New York Indians</w:t>
        </w:r>
        <w:r>
          <w:rPr>
            <w:rFonts w:ascii="Times New Roman" w:hAnsi="Times New Roman" w:cs="Times New Roman"/>
            <w:color w:val="006FC4"/>
            <w:sz w:val="20"/>
            <w:szCs w:val="20"/>
          </w:rPr>
          <w:t>, Id. 761</w:t>
        </w:r>
      </w:hyperlink>
      <w:r>
        <w:rPr>
          <w:rFonts w:ascii="Times New Roman" w:hAnsi="Times New Roman" w:cs="Times New Roman"/>
          <w:color w:val="1F1F1F"/>
          <w:sz w:val="20"/>
          <w:szCs w:val="20"/>
        </w:rPr>
        <w:t xml:space="preserve">; </w:t>
      </w:r>
      <w:hyperlink r:id="rId19" w:history="1">
        <w:r>
          <w:rPr>
            <w:rFonts w:ascii="Times New Roman" w:hAnsi="Times New Roman" w:cs="Times New Roman"/>
            <w:i/>
            <w:iCs/>
            <w:color w:val="006FC4"/>
            <w:sz w:val="20"/>
            <w:szCs w:val="20"/>
          </w:rPr>
          <w:t>Case of the Cherokee Tobacco</w:t>
        </w:r>
        <w:r>
          <w:rPr>
            <w:rFonts w:ascii="Times New Roman" w:hAnsi="Times New Roman" w:cs="Times New Roman"/>
            <w:color w:val="006FC4"/>
            <w:sz w:val="20"/>
            <w:szCs w:val="20"/>
          </w:rPr>
          <w:t>, 11 Wall. 616;</w:t>
        </w:r>
      </w:hyperlink>
      <w:r>
        <w:rPr>
          <w:rFonts w:ascii="Times New Roman" w:hAnsi="Times New Roman" w:cs="Times New Roman"/>
          <w:color w:val="1F1F1F"/>
          <w:sz w:val="20"/>
          <w:szCs w:val="20"/>
        </w:rPr>
        <w:t xml:space="preserve"> </w:t>
      </w:r>
      <w:hyperlink r:id="rId20" w:history="1">
        <w:r>
          <w:rPr>
            <w:rFonts w:ascii="Times New Roman" w:hAnsi="Times New Roman" w:cs="Times New Roman"/>
            <w:i/>
            <w:iCs/>
            <w:color w:val="006FC4"/>
            <w:sz w:val="20"/>
            <w:szCs w:val="20"/>
          </w:rPr>
          <w:t>U. S.</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Whisky</w:t>
        </w:r>
        <w:r>
          <w:rPr>
            <w:rFonts w:ascii="Times New Roman" w:hAnsi="Times New Roman" w:cs="Times New Roman"/>
            <w:color w:val="006FC4"/>
            <w:sz w:val="20"/>
            <w:szCs w:val="20"/>
          </w:rPr>
          <w:t>, 93 U. S. 188;</w:t>
        </w:r>
      </w:hyperlink>
      <w:r>
        <w:rPr>
          <w:rFonts w:ascii="Times New Roman" w:hAnsi="Times New Roman" w:cs="Times New Roman"/>
          <w:color w:val="1F1F1F"/>
          <w:sz w:val="20"/>
          <w:szCs w:val="20"/>
        </w:rPr>
        <w:t xml:space="preserve"> </w:t>
      </w:r>
      <w:hyperlink r:id="rId21" w:history="1">
        <w:r>
          <w:rPr>
            <w:rFonts w:ascii="Times New Roman" w:hAnsi="Times New Roman" w:cs="Times New Roman"/>
            <w:i/>
            <w:iCs/>
            <w:color w:val="006FC4"/>
            <w:sz w:val="20"/>
            <w:szCs w:val="20"/>
          </w:rPr>
          <w:t>Pennock</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Commissioners</w:t>
        </w:r>
        <w:r>
          <w:rPr>
            <w:rFonts w:ascii="Times New Roman" w:hAnsi="Times New Roman" w:cs="Times New Roman"/>
            <w:color w:val="006FC4"/>
            <w:sz w:val="20"/>
            <w:szCs w:val="20"/>
          </w:rPr>
          <w:t>, 103 U. S. 44;</w:t>
        </w:r>
      </w:hyperlink>
      <w:r>
        <w:rPr>
          <w:rFonts w:ascii="Times New Roman" w:hAnsi="Times New Roman" w:cs="Times New Roman"/>
          <w:color w:val="1F1F1F"/>
          <w:sz w:val="20"/>
          <w:szCs w:val="20"/>
        </w:rPr>
        <w:t xml:space="preserve"> </w:t>
      </w:r>
      <w:hyperlink r:id="rId22" w:history="1">
        <w:r>
          <w:rPr>
            <w:rFonts w:ascii="Times New Roman" w:hAnsi="Times New Roman" w:cs="Times New Roman"/>
            <w:i/>
            <w:iCs/>
            <w:color w:val="006FC4"/>
            <w:sz w:val="20"/>
            <w:szCs w:val="20"/>
          </w:rPr>
          <w:t>Crow Dog’s Case</w:t>
        </w:r>
        <w:r>
          <w:rPr>
            <w:rFonts w:ascii="Times New Roman" w:hAnsi="Times New Roman" w:cs="Times New Roman"/>
            <w:color w:val="006FC4"/>
            <w:sz w:val="20"/>
            <w:szCs w:val="20"/>
          </w:rPr>
          <w:t>, 109 U. S. 556;</w:t>
        </w:r>
      </w:hyperlink>
      <w:r>
        <w:rPr>
          <w:rFonts w:ascii="Times New Roman" w:hAnsi="Times New Roman" w:cs="Times New Roman"/>
          <w:color w:val="1F1F1F"/>
          <w:sz w:val="20"/>
          <w:szCs w:val="20"/>
        </w:rPr>
        <w:t xml:space="preserve"> </w:t>
      </w:r>
      <w:hyperlink r:id="rId23" w:history="1">
        <w:r>
          <w:rPr>
            <w:rFonts w:ascii="Times New Roman" w:hAnsi="Times New Roman" w:cs="Times New Roman"/>
            <w:color w:val="006FC4"/>
            <w:sz w:val="20"/>
            <w:szCs w:val="20"/>
          </w:rPr>
          <w:t>S. C. 3 SUP. CT. REP. 396;</w:t>
        </w:r>
      </w:hyperlink>
      <w:r>
        <w:rPr>
          <w:rFonts w:ascii="Times New Roman" w:hAnsi="Times New Roman" w:cs="Times New Roman"/>
          <w:color w:val="1F1F1F"/>
          <w:sz w:val="20"/>
          <w:szCs w:val="20"/>
        </w:rPr>
        <w:t xml:space="preserve"> </w:t>
      </w:r>
      <w:hyperlink r:id="rId24" w:history="1">
        <w:r>
          <w:rPr>
            <w:rFonts w:ascii="Times New Roman" w:hAnsi="Times New Roman" w:cs="Times New Roman"/>
            <w:i/>
            <w:iCs/>
            <w:color w:val="006FC4"/>
            <w:sz w:val="20"/>
            <w:szCs w:val="20"/>
          </w:rPr>
          <w:t>Goodell</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Jackson</w:t>
        </w:r>
        <w:r>
          <w:rPr>
            <w:rFonts w:ascii="Times New Roman" w:hAnsi="Times New Roman" w:cs="Times New Roman"/>
            <w:color w:val="006FC4"/>
            <w:sz w:val="20"/>
            <w:szCs w:val="20"/>
          </w:rPr>
          <w:t>, 20 Johns. 693;</w:t>
        </w:r>
      </w:hyperlink>
      <w:r>
        <w:rPr>
          <w:rFonts w:ascii="Times New Roman" w:hAnsi="Times New Roman" w:cs="Times New Roman"/>
          <w:color w:val="1F1F1F"/>
          <w:sz w:val="20"/>
          <w:szCs w:val="20"/>
        </w:rPr>
        <w:t xml:space="preserve"> </w:t>
      </w:r>
      <w:hyperlink r:id="rId25" w:history="1">
        <w:r>
          <w:rPr>
            <w:rFonts w:ascii="Times New Roman" w:hAnsi="Times New Roman" w:cs="Times New Roman"/>
            <w:i/>
            <w:iCs/>
            <w:color w:val="006FC4"/>
            <w:sz w:val="20"/>
            <w:szCs w:val="20"/>
          </w:rPr>
          <w:t>Hastings</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Farmer</w:t>
        </w:r>
        <w:r>
          <w:rPr>
            <w:rFonts w:ascii="Times New Roman" w:hAnsi="Times New Roman" w:cs="Times New Roman"/>
            <w:color w:val="006FC4"/>
            <w:sz w:val="20"/>
            <w:szCs w:val="20"/>
          </w:rPr>
          <w:t>, 4 N. Y. 293</w:t>
        </w:r>
      </w:hyperlink>
      <w:r>
        <w:rPr>
          <w:rFonts w:ascii="Times New Roman" w:hAnsi="Times New Roman" w:cs="Times New Roman"/>
          <w:color w:val="1F1F1F"/>
          <w:sz w:val="20"/>
          <w:szCs w:val="20"/>
        </w:rPr>
        <w:t>.</w:t>
      </w:r>
    </w:p>
    <w:p w14:paraId="05BD5656"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4BA5C97A"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The alien and dependent condition of the members of the Indian tribes could not be put off at their own will without the action or assent of the United States. They were never deemed citizens of the United States, except under explicit provisions of treaty or statute to that effect, either declaring a certain tribe, or such members of it as chose to remain behind on the removal of the tribe westward, to be citizens, or authorizing individuals of particular tribes to become citizens on application to a court of the United States for naturalization and satisfactory proof of fitness for civilized life; for examples of which see treaties in 1817 and 1835 with the Cherokees, and in 1820, 1825, and 1830 with the Choctaws, (7 St. 159, 211, 236, 335, 483, 488; </w:t>
      </w:r>
      <w:hyperlink r:id="rId26" w:history="1">
        <w:r>
          <w:rPr>
            <w:rFonts w:ascii="Times New Roman" w:hAnsi="Times New Roman" w:cs="Times New Roman"/>
            <w:i/>
            <w:iCs/>
            <w:color w:val="006FC4"/>
            <w:sz w:val="20"/>
            <w:szCs w:val="20"/>
          </w:rPr>
          <w:t>Wilson</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Wall</w:t>
        </w:r>
        <w:r>
          <w:rPr>
            <w:rFonts w:ascii="Times New Roman" w:hAnsi="Times New Roman" w:cs="Times New Roman"/>
            <w:color w:val="006FC4"/>
            <w:sz w:val="20"/>
            <w:szCs w:val="20"/>
          </w:rPr>
          <w:t>, 6 Wall. 83;</w:t>
        </w:r>
      </w:hyperlink>
      <w:r>
        <w:rPr>
          <w:rFonts w:ascii="Times New Roman" w:hAnsi="Times New Roman" w:cs="Times New Roman"/>
          <w:color w:val="1F1F1F"/>
          <w:sz w:val="20"/>
          <w:szCs w:val="20"/>
        </w:rPr>
        <w:t xml:space="preserve"> Opinion of Atty. Gen. TANEY, 2 OP. Attys. Gen. 462;) in 1855 with the </w:t>
      </w:r>
      <w:proofErr w:type="spellStart"/>
      <w:r>
        <w:rPr>
          <w:rFonts w:ascii="Times New Roman" w:hAnsi="Times New Roman" w:cs="Times New Roman"/>
          <w:color w:val="1F1F1F"/>
          <w:sz w:val="20"/>
          <w:szCs w:val="20"/>
        </w:rPr>
        <w:t>Wyandotts</w:t>
      </w:r>
      <w:proofErr w:type="spellEnd"/>
      <w:r>
        <w:rPr>
          <w:rFonts w:ascii="Times New Roman" w:hAnsi="Times New Roman" w:cs="Times New Roman"/>
          <w:color w:val="1F1F1F"/>
          <w:sz w:val="20"/>
          <w:szCs w:val="20"/>
        </w:rPr>
        <w:t xml:space="preserve">, (10 St. 1159; </w:t>
      </w:r>
      <w:hyperlink r:id="rId27" w:history="1">
        <w:proofErr w:type="spellStart"/>
        <w:r>
          <w:rPr>
            <w:rFonts w:ascii="Times New Roman" w:hAnsi="Times New Roman" w:cs="Times New Roman"/>
            <w:i/>
            <w:iCs/>
            <w:color w:val="006FC4"/>
            <w:sz w:val="20"/>
            <w:szCs w:val="20"/>
          </w:rPr>
          <w:t>Karrahoo</w:t>
        </w:r>
        <w:proofErr w:type="spellEnd"/>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Adams</w:t>
        </w:r>
        <w:r>
          <w:rPr>
            <w:rFonts w:ascii="Times New Roman" w:hAnsi="Times New Roman" w:cs="Times New Roman"/>
            <w:color w:val="006FC4"/>
            <w:sz w:val="20"/>
            <w:szCs w:val="20"/>
          </w:rPr>
          <w:t>, 1 Dill. 344, 346;</w:t>
        </w:r>
      </w:hyperlink>
      <w:r>
        <w:rPr>
          <w:rFonts w:ascii="Times New Roman" w:hAnsi="Times New Roman" w:cs="Times New Roman"/>
          <w:color w:val="1F1F1F"/>
          <w:sz w:val="20"/>
          <w:szCs w:val="20"/>
        </w:rPr>
        <w:t xml:space="preserve"> </w:t>
      </w:r>
      <w:hyperlink r:id="rId28" w:history="1">
        <w:r>
          <w:rPr>
            <w:rFonts w:ascii="Times New Roman" w:hAnsi="Times New Roman" w:cs="Times New Roman"/>
            <w:i/>
            <w:iCs/>
            <w:color w:val="006FC4"/>
            <w:sz w:val="20"/>
            <w:szCs w:val="20"/>
          </w:rPr>
          <w:t>Gray</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Coffman</w:t>
        </w:r>
        <w:r>
          <w:rPr>
            <w:rFonts w:ascii="Times New Roman" w:hAnsi="Times New Roman" w:cs="Times New Roman"/>
            <w:color w:val="006FC4"/>
            <w:sz w:val="20"/>
            <w:szCs w:val="20"/>
          </w:rPr>
          <w:t>, 3 Dill. 393;</w:t>
        </w:r>
      </w:hyperlink>
      <w:r>
        <w:rPr>
          <w:rFonts w:ascii="Times New Roman" w:hAnsi="Times New Roman" w:cs="Times New Roman"/>
          <w:color w:val="1F1F1F"/>
          <w:sz w:val="20"/>
          <w:szCs w:val="20"/>
        </w:rPr>
        <w:t xml:space="preserve"> </w:t>
      </w:r>
      <w:r>
        <w:rPr>
          <w:rFonts w:ascii="Times New Roman" w:hAnsi="Times New Roman" w:cs="Times New Roman"/>
          <w:i/>
          <w:iCs/>
          <w:color w:val="1F1F1F"/>
          <w:sz w:val="20"/>
          <w:szCs w:val="20"/>
        </w:rPr>
        <w:t>Hicks</w:t>
      </w:r>
      <w:r>
        <w:rPr>
          <w:rFonts w:ascii="Times New Roman" w:hAnsi="Times New Roman" w:cs="Times New Roman"/>
          <w:color w:val="1F1F1F"/>
          <w:sz w:val="20"/>
          <w:szCs w:val="20"/>
        </w:rPr>
        <w:t xml:space="preserve"> v. </w:t>
      </w:r>
      <w:proofErr w:type="spellStart"/>
      <w:r>
        <w:rPr>
          <w:rFonts w:ascii="Times New Roman" w:hAnsi="Times New Roman" w:cs="Times New Roman"/>
          <w:i/>
          <w:iCs/>
          <w:color w:val="1F1F1F"/>
          <w:sz w:val="20"/>
          <w:szCs w:val="20"/>
        </w:rPr>
        <w:t>Butrick</w:t>
      </w:r>
      <w:proofErr w:type="spellEnd"/>
      <w:r>
        <w:rPr>
          <w:rFonts w:ascii="Times New Roman" w:hAnsi="Times New Roman" w:cs="Times New Roman"/>
          <w:color w:val="1F1F1F"/>
          <w:sz w:val="20"/>
          <w:szCs w:val="20"/>
        </w:rPr>
        <w:t xml:space="preserve">, </w:t>
      </w:r>
      <w:hyperlink r:id="rId29" w:history="1">
        <w:r>
          <w:rPr>
            <w:rFonts w:ascii="Times New Roman" w:hAnsi="Times New Roman" w:cs="Times New Roman"/>
            <w:color w:val="006FC4"/>
            <w:sz w:val="20"/>
            <w:szCs w:val="20"/>
          </w:rPr>
          <w:t>Id. 413</w:t>
        </w:r>
      </w:hyperlink>
      <w:r>
        <w:rPr>
          <w:rFonts w:ascii="Times New Roman" w:hAnsi="Times New Roman" w:cs="Times New Roman"/>
          <w:color w:val="1F1F1F"/>
          <w:sz w:val="20"/>
          <w:szCs w:val="20"/>
        </w:rPr>
        <w:t>;) in 1861</w:t>
      </w:r>
      <w:bookmarkStart w:id="9" w:name="co_pp_sp_708_45_1"/>
      <w:bookmarkEnd w:id="9"/>
      <w:r>
        <w:rPr>
          <w:rFonts w:ascii="Times New Roman" w:hAnsi="Times New Roman" w:cs="Times New Roman"/>
          <w:color w:val="1F1F1F"/>
          <w:sz w:val="20"/>
          <w:szCs w:val="20"/>
        </w:rPr>
        <w:t xml:space="preserve"> and in March, 1866, with the </w:t>
      </w:r>
      <w:proofErr w:type="spellStart"/>
      <w:r>
        <w:rPr>
          <w:rFonts w:ascii="Times New Roman" w:hAnsi="Times New Roman" w:cs="Times New Roman"/>
          <w:color w:val="1F1F1F"/>
          <w:sz w:val="20"/>
          <w:szCs w:val="20"/>
        </w:rPr>
        <w:t>Pottawatomies</w:t>
      </w:r>
      <w:proofErr w:type="spellEnd"/>
      <w:r>
        <w:rPr>
          <w:rFonts w:ascii="Times New Roman" w:hAnsi="Times New Roman" w:cs="Times New Roman"/>
          <w:color w:val="1F1F1F"/>
          <w:sz w:val="20"/>
          <w:szCs w:val="20"/>
        </w:rPr>
        <w:t xml:space="preserve">, (12 </w:t>
      </w:r>
      <w:proofErr w:type="spellStart"/>
      <w:r>
        <w:rPr>
          <w:rFonts w:ascii="Times New Roman" w:hAnsi="Times New Roman" w:cs="Times New Roman"/>
          <w:color w:val="1F1F1F"/>
          <w:sz w:val="20"/>
          <w:szCs w:val="20"/>
        </w:rPr>
        <w:t>st.</w:t>
      </w:r>
      <w:proofErr w:type="spellEnd"/>
      <w:r>
        <w:rPr>
          <w:rFonts w:ascii="Times New Roman" w:hAnsi="Times New Roman" w:cs="Times New Roman"/>
          <w:color w:val="1F1F1F"/>
          <w:sz w:val="20"/>
          <w:szCs w:val="20"/>
        </w:rPr>
        <w:t xml:space="preserve"> 1192; 14 </w:t>
      </w:r>
      <w:proofErr w:type="spellStart"/>
      <w:r>
        <w:rPr>
          <w:rFonts w:ascii="Times New Roman" w:hAnsi="Times New Roman" w:cs="Times New Roman"/>
          <w:color w:val="1F1F1F"/>
          <w:sz w:val="20"/>
          <w:szCs w:val="20"/>
        </w:rPr>
        <w:t>st.</w:t>
      </w:r>
      <w:proofErr w:type="spellEnd"/>
      <w:r>
        <w:rPr>
          <w:rFonts w:ascii="Times New Roman" w:hAnsi="Times New Roman" w:cs="Times New Roman"/>
          <w:color w:val="1F1F1F"/>
          <w:sz w:val="20"/>
          <w:szCs w:val="20"/>
        </w:rPr>
        <w:t xml:space="preserve"> 763;) in 1862 with the </w:t>
      </w:r>
      <w:proofErr w:type="spellStart"/>
      <w:r>
        <w:rPr>
          <w:rFonts w:ascii="Times New Roman" w:hAnsi="Times New Roman" w:cs="Times New Roman"/>
          <w:color w:val="1F1F1F"/>
          <w:sz w:val="20"/>
          <w:szCs w:val="20"/>
        </w:rPr>
        <w:t>Ottawas</w:t>
      </w:r>
      <w:proofErr w:type="spellEnd"/>
      <w:r>
        <w:rPr>
          <w:rFonts w:ascii="Times New Roman" w:hAnsi="Times New Roman" w:cs="Times New Roman"/>
          <w:color w:val="1F1F1F"/>
          <w:sz w:val="20"/>
          <w:szCs w:val="20"/>
        </w:rPr>
        <w:t xml:space="preserve">, (12 St. 1237;) and the Kickapoos, (13 St. 624;) and acts of congress of March 3, 1839,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83, § 7, concerning the </w:t>
      </w:r>
      <w:proofErr w:type="spellStart"/>
      <w:r>
        <w:rPr>
          <w:rFonts w:ascii="Times New Roman" w:hAnsi="Times New Roman" w:cs="Times New Roman"/>
          <w:color w:val="1F1F1F"/>
          <w:sz w:val="20"/>
          <w:szCs w:val="20"/>
        </w:rPr>
        <w:t>Brothertown</w:t>
      </w:r>
      <w:proofErr w:type="spellEnd"/>
      <w:r>
        <w:rPr>
          <w:rFonts w:ascii="Times New Roman" w:hAnsi="Times New Roman" w:cs="Times New Roman"/>
          <w:color w:val="1F1F1F"/>
          <w:sz w:val="20"/>
          <w:szCs w:val="20"/>
        </w:rPr>
        <w:t xml:space="preserve"> Indians; and of March 3, 1843,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101, § 7, August 6, 1846,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88, and March 3, 1865,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127, § 4, concerning the Stockbridge Indians, (5 St. 351, 647; 9 St. 55; 13 St. 562.) See, also, treaties with the Stockbridge Indians in 1848 and 1856, (9 St. 955; 11 St. 667; 7 Op. Attys. Gen. 746.)</w:t>
      </w:r>
    </w:p>
    <w:p w14:paraId="322F3BEA"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591A5DBE"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Chief Justice TANEY, in the passage cited for the plaintiff </w:t>
      </w:r>
      <w:bookmarkStart w:id="10" w:name="co_pp_sp_780_101_1"/>
      <w:bookmarkEnd w:id="10"/>
      <w:r>
        <w:rPr>
          <w:rFonts w:ascii="Times New Roman" w:hAnsi="Times New Roman" w:cs="Times New Roman"/>
          <w:color w:val="1F1F1F"/>
          <w:sz w:val="20"/>
          <w:szCs w:val="20"/>
        </w:rPr>
        <w:t xml:space="preserve">from his opinion in </w:t>
      </w:r>
      <w:hyperlink r:id="rId30" w:history="1">
        <w:r>
          <w:rPr>
            <w:rFonts w:ascii="Times New Roman" w:hAnsi="Times New Roman" w:cs="Times New Roman"/>
            <w:i/>
            <w:iCs/>
            <w:color w:val="006FC4"/>
            <w:sz w:val="20"/>
            <w:szCs w:val="20"/>
          </w:rPr>
          <w:t>Scott</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Sandford</w:t>
        </w:r>
        <w:r>
          <w:rPr>
            <w:rFonts w:ascii="Times New Roman" w:hAnsi="Times New Roman" w:cs="Times New Roman"/>
            <w:color w:val="006FC4"/>
            <w:sz w:val="20"/>
            <w:szCs w:val="20"/>
          </w:rPr>
          <w:t>, 19 How. 393, 404,</w:t>
        </w:r>
      </w:hyperlink>
      <w:r>
        <w:rPr>
          <w:rFonts w:ascii="Times New Roman" w:hAnsi="Times New Roman" w:cs="Times New Roman"/>
          <w:color w:val="1F1F1F"/>
          <w:sz w:val="20"/>
          <w:szCs w:val="20"/>
        </w:rPr>
        <w:t xml:space="preserve"> did not affirm or imply that either the Indian tribes, or individual members of those tribes, had the right, beyond other foreigners, to become citizens of their own will, without being naturalized by the United States. His words were: ‘They’ (the Indian tribes) ‘may without doubt, like the subjects of any foreign government, be naturalized by the authority of congress, and become citizens of a state, and of the United States; and if an individual should leave his nation or tribe, and take up his abode among the white population, he would be entitled to all the rights and privileges which would belong to an emigrant from any other foreign people.’ But an emigrant from any foreign state cannot become a citizen of the United States without a formal renunciation of his old allegiance, and an acceptance by the United States of that renunciation through such form of naturalization as may be required law.</w:t>
      </w:r>
    </w:p>
    <w:p w14:paraId="638B24C7"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6C0ECF91"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The distinction between citizenship by birth and citizenship by naturalization is clearly marked in the provisions of the constitution, by which ‘no person, except a natural-born citizen, or a citizen of the United States at the time of the adoption of this constitution, shall be eligible to the office of president;’ and ‘the congress shall have power to establish </w:t>
      </w:r>
      <w:proofErr w:type="gramStart"/>
      <w:r>
        <w:rPr>
          <w:rFonts w:ascii="Times New Roman" w:hAnsi="Times New Roman" w:cs="Times New Roman"/>
          <w:color w:val="1F1F1F"/>
          <w:sz w:val="20"/>
          <w:szCs w:val="20"/>
        </w:rPr>
        <w:t>an</w:t>
      </w:r>
      <w:proofErr w:type="gramEnd"/>
      <w:r>
        <w:rPr>
          <w:rFonts w:ascii="Times New Roman" w:hAnsi="Times New Roman" w:cs="Times New Roman"/>
          <w:color w:val="1F1F1F"/>
          <w:sz w:val="20"/>
          <w:szCs w:val="20"/>
        </w:rPr>
        <w:t xml:space="preserve"> uniform rule of naturalization.’ Const. art. 2, § 1; art. 1, § 8. By the thirteenth amendment of the constitution slavery was prohibited. The main object of the opening sentence of the fourteenth amendment was to settle the question, upon which there had been a difference of opinion throughout the country and in this court, as to the citizenship of free negroes, (</w:t>
      </w:r>
      <w:hyperlink r:id="rId31" w:history="1">
        <w:r>
          <w:rPr>
            <w:rFonts w:ascii="Times New Roman" w:hAnsi="Times New Roman" w:cs="Times New Roman"/>
            <w:i/>
            <w:iCs/>
            <w:color w:val="006FC4"/>
            <w:sz w:val="20"/>
            <w:szCs w:val="20"/>
          </w:rPr>
          <w:t>Scott</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Sandford</w:t>
        </w:r>
        <w:r>
          <w:rPr>
            <w:rFonts w:ascii="Times New Roman" w:hAnsi="Times New Roman" w:cs="Times New Roman"/>
            <w:color w:val="006FC4"/>
            <w:sz w:val="20"/>
            <w:szCs w:val="20"/>
          </w:rPr>
          <w:t>, 19 How. 393;)</w:t>
        </w:r>
      </w:hyperlink>
      <w:r>
        <w:rPr>
          <w:rFonts w:ascii="Times New Roman" w:hAnsi="Times New Roman" w:cs="Times New Roman"/>
          <w:color w:val="1F1F1F"/>
          <w:sz w:val="20"/>
          <w:szCs w:val="20"/>
        </w:rPr>
        <w:t xml:space="preserve"> and to put it beyond doubt that all persons, white or black, and whether formerly slaves or not, born or naturalized in the United States, and owing no allegiance to any alien power, should be citizens of the United States and of the state in which they reside. </w:t>
      </w:r>
      <w:hyperlink r:id="rId32" w:history="1">
        <w:r>
          <w:rPr>
            <w:rFonts w:ascii="Times New Roman" w:hAnsi="Times New Roman" w:cs="Times New Roman"/>
            <w:i/>
            <w:iCs/>
            <w:color w:val="006FC4"/>
            <w:sz w:val="20"/>
            <w:szCs w:val="20"/>
          </w:rPr>
          <w:t>Slaughter-House Cases</w:t>
        </w:r>
        <w:r>
          <w:rPr>
            <w:rFonts w:ascii="Times New Roman" w:hAnsi="Times New Roman" w:cs="Times New Roman"/>
            <w:color w:val="006FC4"/>
            <w:sz w:val="20"/>
            <w:szCs w:val="20"/>
          </w:rPr>
          <w:t>, 16 Wall. 36, 73;</w:t>
        </w:r>
      </w:hyperlink>
      <w:r>
        <w:rPr>
          <w:rFonts w:ascii="Times New Roman" w:hAnsi="Times New Roman" w:cs="Times New Roman"/>
          <w:color w:val="1F1F1F"/>
          <w:sz w:val="20"/>
          <w:szCs w:val="20"/>
        </w:rPr>
        <w:t xml:space="preserve"> </w:t>
      </w:r>
      <w:hyperlink r:id="rId33" w:history="1">
        <w:r>
          <w:rPr>
            <w:rFonts w:ascii="Times New Roman" w:hAnsi="Times New Roman" w:cs="Times New Roman"/>
            <w:i/>
            <w:iCs/>
            <w:color w:val="006FC4"/>
            <w:sz w:val="20"/>
            <w:szCs w:val="20"/>
          </w:rPr>
          <w:t>Strauder</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West Virginia</w:t>
        </w:r>
        <w:r>
          <w:rPr>
            <w:rFonts w:ascii="Times New Roman" w:hAnsi="Times New Roman" w:cs="Times New Roman"/>
            <w:color w:val="006FC4"/>
            <w:sz w:val="20"/>
            <w:szCs w:val="20"/>
          </w:rPr>
          <w:t>, 100 U. S. 303, 306</w:t>
        </w:r>
      </w:hyperlink>
      <w:r>
        <w:rPr>
          <w:rFonts w:ascii="Times New Roman" w:hAnsi="Times New Roman" w:cs="Times New Roman"/>
          <w:color w:val="1F1F1F"/>
          <w:sz w:val="20"/>
          <w:szCs w:val="20"/>
        </w:rPr>
        <w:t>.</w:t>
      </w:r>
    </w:p>
    <w:p w14:paraId="0F3DCF63"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5149B70C"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lastRenderedPageBreak/>
        <w:t xml:space="preserve">This section contemplates two sources of citizenship, and two sources only: birth and naturalization. The persons declared </w:t>
      </w:r>
      <w:bookmarkStart w:id="11" w:name="co_pp_sp_780_102_1"/>
      <w:bookmarkEnd w:id="11"/>
      <w:r>
        <w:rPr>
          <w:rFonts w:ascii="Times New Roman" w:hAnsi="Times New Roman" w:cs="Times New Roman"/>
          <w:color w:val="1F1F1F"/>
          <w:sz w:val="20"/>
          <w:szCs w:val="20"/>
        </w:rPr>
        <w:t>to be citizens are ‘all persons born or naturalized in the United States, and subject to the jurisdiction thereof.’ The evident meaning of these last words is, not merely subject in some respect or degree to the jurisdiction of the United States, but completely subject to their political jurisdiction, and owing them direct and immediate allegiance. And the words relate to the time of birth in the one case, as they do to the time of naturalization in the other. Persons not thus subject to the jurisdiction of the United States at the time of birth cannot become so afterwards, except by being naturalized, either individually, as by proceedings under the naturalization acts; or collectively, as by the force of a treaty by which foreign territory is acquired. Indians born within the territorial limits of the United States, members of, and owing immediate allegiance to, one of the Indiana tribes, (an alien though dependent power,) although in a geographical sense born in the United States, are no more ‘born in the United States and subject to the jurisdiction thereof,’ within the meaning of the first section of the fourteenth amendment, than the children of subjects of any foreign government born within the domain of that government, or the children born within the United States, of ambassadors or other public ministers of foreign nations. This view is confirmed by the second section of the fourteenth amendment, which provides that ‘representatives shall be apportioned among</w:t>
      </w:r>
      <w:bookmarkStart w:id="12" w:name="co_pp_sp_708_46_1"/>
      <w:bookmarkEnd w:id="12"/>
      <w:r>
        <w:rPr>
          <w:rFonts w:ascii="Times New Roman" w:hAnsi="Times New Roman" w:cs="Times New Roman"/>
          <w:color w:val="1F1F1F"/>
          <w:sz w:val="20"/>
          <w:szCs w:val="20"/>
        </w:rPr>
        <w:t xml:space="preserve"> the several states according to their respective numbers, counting the whole number of persons in each state, excluding Indians not taxed.’ Slavery having been abolished, and the persons formerly held as slaves made citizens, </w:t>
      </w:r>
      <w:proofErr w:type="gramStart"/>
      <w:r>
        <w:rPr>
          <w:rFonts w:ascii="Times New Roman" w:hAnsi="Times New Roman" w:cs="Times New Roman"/>
          <w:color w:val="1F1F1F"/>
          <w:sz w:val="20"/>
          <w:szCs w:val="20"/>
        </w:rPr>
        <w:t>this clauses</w:t>
      </w:r>
      <w:proofErr w:type="gramEnd"/>
      <w:r>
        <w:rPr>
          <w:rFonts w:ascii="Times New Roman" w:hAnsi="Times New Roman" w:cs="Times New Roman"/>
          <w:color w:val="1F1F1F"/>
          <w:sz w:val="20"/>
          <w:szCs w:val="20"/>
        </w:rPr>
        <w:t xml:space="preserve"> fixing the apportionment of representatives has abrogated so much of the corresponding clause of the original constitution as counted only three-fifths of such persons. But Indians not taxed are still excluded from the count, for the reason that they are not citizens. Their absolute exclusion from the basis of representation, in which all other persons are now included, is wholly inconsistent with their being considered citizens. So the further provision of the second section for a proportionate </w:t>
      </w:r>
      <w:bookmarkStart w:id="13" w:name="co_pp_sp_780_103_1"/>
      <w:bookmarkEnd w:id="13"/>
      <w:r>
        <w:rPr>
          <w:rFonts w:ascii="Times New Roman" w:hAnsi="Times New Roman" w:cs="Times New Roman"/>
          <w:color w:val="1F1F1F"/>
          <w:sz w:val="20"/>
          <w:szCs w:val="20"/>
        </w:rPr>
        <w:t>reduction of the basis of the representation of any state in which the right to vote for presidential electors, representatives in congress, or executive or judicial officers or members of the legislature of a state, is denied, except for participation in rebellion or other crime, to ‘any of the male inhabitants of such state, being twenty-one years of age and citizens of the United States,’ cannot apply to a denial of the elective franchise to Indians not taxed, who form no part of the people entitled to representation.</w:t>
      </w:r>
    </w:p>
    <w:p w14:paraId="14001609"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625A2678"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It is also worthy of remark that the language used, about the same time, by the very congress which framed the fourteenth amendment, in the first section of the civil rights act of April 9, 1866, declaring who shall be citizens of the United States, is ‘all persons born in the United States, and not subject to any foreign power, excluding Indians not taxed.’ 14 St. 27; Rev. St. § 1992. Such Indians, then, not being citizens by birth, can only become citizens in the second way mentioned in the fourteenth amendment, by being ‘naturalized in the United States,’ by or under some treaty or statute. The action of the political departments of the government, not only after the proposal of the amendment by congress to the states in June, 1866, but since the proclamation in July, 1868, of its ratification by the requisite number of states, accords with this construction. While the amendment was pending before the legislatures of the several states, treaties containing provisions for the naturalization of members of Indian tribes as citizens of the United States were made on July 4, 1866, with the Delawares, in 1867 with various tribes in Kansas, and with the </w:t>
      </w:r>
      <w:proofErr w:type="spellStart"/>
      <w:r>
        <w:rPr>
          <w:rFonts w:ascii="Times New Roman" w:hAnsi="Times New Roman" w:cs="Times New Roman"/>
          <w:color w:val="1F1F1F"/>
          <w:sz w:val="20"/>
          <w:szCs w:val="20"/>
        </w:rPr>
        <w:t>Pottawatomies</w:t>
      </w:r>
      <w:proofErr w:type="spellEnd"/>
      <w:r>
        <w:rPr>
          <w:rFonts w:ascii="Times New Roman" w:hAnsi="Times New Roman" w:cs="Times New Roman"/>
          <w:color w:val="1F1F1F"/>
          <w:sz w:val="20"/>
          <w:szCs w:val="20"/>
        </w:rPr>
        <w:t>, and in April, 1868, with the Sioux. 14 St. 794, 796; 15 St. 513, 532, 533, 637.</w:t>
      </w:r>
    </w:p>
    <w:p w14:paraId="3782A335"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29BC0B63"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The treaty of 1867 with the Kansas Indians strikingly illustrates the principle that no one can become a citizen of a nation without its consent, and directly contradicts the supposition that a member of an Indian tribe can at will be alternately a citizen of the United States and a member of the tribe. That treaty not only provided for the naturalization of members </w:t>
      </w:r>
      <w:bookmarkStart w:id="14" w:name="co_pp_sp_780_104_1"/>
      <w:bookmarkEnd w:id="14"/>
      <w:r>
        <w:rPr>
          <w:rFonts w:ascii="Times New Roman" w:hAnsi="Times New Roman" w:cs="Times New Roman"/>
          <w:color w:val="1F1F1F"/>
          <w:sz w:val="20"/>
          <w:szCs w:val="20"/>
        </w:rPr>
        <w:t xml:space="preserve">of the Ottawa, Miami, Peoria, and other tribes, and their families, upon their making declaration, before the district court of the United States, of their intention to become citizens, (15 St. 517, 520, 521;) but, after reciting that some of the </w:t>
      </w:r>
      <w:proofErr w:type="spellStart"/>
      <w:r>
        <w:rPr>
          <w:rFonts w:ascii="Times New Roman" w:hAnsi="Times New Roman" w:cs="Times New Roman"/>
          <w:color w:val="1F1F1F"/>
          <w:sz w:val="20"/>
          <w:szCs w:val="20"/>
        </w:rPr>
        <w:t>Wyandotts</w:t>
      </w:r>
      <w:proofErr w:type="spellEnd"/>
      <w:r>
        <w:rPr>
          <w:rFonts w:ascii="Times New Roman" w:hAnsi="Times New Roman" w:cs="Times New Roman"/>
          <w:color w:val="1F1F1F"/>
          <w:sz w:val="20"/>
          <w:szCs w:val="20"/>
        </w:rPr>
        <w:t>, who had become citizens under the treaty of 1855, were ‘unfitted for the responsibilities of citizenship,’ and enacting that a register of the whole people of this tribe, resident in Kansas or elsewhere, should be taken, under the direction of the secretary of the interior, showing the names of ‘all who declare their desire to be and remain Indians and in a tribal condition,’ and of incompetents and orphans as described in the treaty of 1855, and that such persons, and those only, should thereafter constitute the tribe, it provided that ‘no one who has heretofore consented to become a citizen, nor the wife or children of any such person, shall be allowed to become members of the tribe, except by the free consent of the tribe after its new organization, and unless the agent shall certify that such party is, through poverty or incapacity, unfit to continue in the exercise of the responsibilities of citizenship of the United States, and likely to become a public charge.’ 15 St. 514, 516.</w:t>
      </w:r>
    </w:p>
    <w:p w14:paraId="2E0D945B"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5A013429"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Since the ratification of the fourteenth amendment, congress has passed several acts for naturalizing Indians of certain tribes, which would have been</w:t>
      </w:r>
      <w:bookmarkStart w:id="15" w:name="co_pp_sp_708_47_1"/>
      <w:bookmarkEnd w:id="15"/>
      <w:r>
        <w:rPr>
          <w:rFonts w:ascii="Times New Roman" w:hAnsi="Times New Roman" w:cs="Times New Roman"/>
          <w:color w:val="1F1F1F"/>
          <w:sz w:val="20"/>
          <w:szCs w:val="20"/>
        </w:rPr>
        <w:t xml:space="preserve"> superfluous if they were, or might become without any action of the </w:t>
      </w:r>
      <w:r>
        <w:rPr>
          <w:rFonts w:ascii="Times New Roman" w:hAnsi="Times New Roman" w:cs="Times New Roman"/>
          <w:color w:val="1F1F1F"/>
          <w:sz w:val="20"/>
          <w:szCs w:val="20"/>
        </w:rPr>
        <w:lastRenderedPageBreak/>
        <w:t xml:space="preserve">government, citizens of the United States. By the act of July 15, 1870,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296, § 10, for instance, it was provided that if at any time thereafter any of the Winnebago Indians in the state of Minnesota should desire to become citizens of the United States, they should make application to the district court of the United States for the district of Minnesota, and in open court make the same proof, and take the same oath of allegiance as is provided by law for the naturalization of aliens, and should also make proof, to the satisfaction of the court, that they were sufficiently intelligent and prudent to control their affairs and interests, that they had adopted the habits of civilized life, and had for at least five years before been able to support themselves and their families; and thereupon </w:t>
      </w:r>
      <w:bookmarkStart w:id="16" w:name="co_pp_sp_780_105_1"/>
      <w:bookmarkEnd w:id="16"/>
      <w:r>
        <w:rPr>
          <w:rFonts w:ascii="Times New Roman" w:hAnsi="Times New Roman" w:cs="Times New Roman"/>
          <w:color w:val="1F1F1F"/>
          <w:sz w:val="20"/>
          <w:szCs w:val="20"/>
        </w:rPr>
        <w:t xml:space="preserve">they should be declared by the court to be citizens of the United States, the declaration entered of record, and a certificate thereof given to the applicant; and the secretary of the interior, upon presentation of that certificate, might issue to them patents in fee-simple, with power of alienation, of the lands already held by them in severalty, and might cause to be paid to them their proportion of the money and effects of the tribe held in trust under any treaty or law of the United States; and thereupon such persons should cease to be members of the tribe; and the lands so patented to them should be subject to levy, taxation, and sale in like manner with the property of other citizens. 16 St. 361. By the act of March 3, 1873,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332, § 3, similar provision was made for the naturalization of any adult members of the Miami tribe in Kansas, and of their minor children. 17 St. 632. And the act of March 3, 1865,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127, before referred to, making corresponding provision for the naturalization of any of the chiefs, warriors, or heads of families of the Stockbridge Indians, is re-enacted in section 2312 of the Revised Statutes.</w:t>
      </w:r>
    </w:p>
    <w:p w14:paraId="7B3ADF35"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1C91FE0D"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The act of January 25, 1871,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38, for the relief of the Stockbridge and Munsee Indians in the state of Wisconsin, provided that ‘for the purpose of determining the persons who are members of said tribes, and the future relation of each to the government of the United States,’ two rolls should be prepared under the direction of the commissioner of Indian affairs, signed by the sachem and councilors of the tribe, certified by the person selected by the commissioner to superintend the same, and returned to the commissioner; the one, to be denominated the citizen roll, of the names of all such persons of full age, and their families, ‘as signify their desire to separate their relations with said tribe and to become citizens of the United States,’ and the other to be denominated the Indian roll, of the names of all such ‘as desire to retain their tribal character and continue under the care and guardianship of the United States;’ and that those rolls, so made and returned, should be held as a full surrender and relinquishment, on the part of all those of the first class, of all claims to be known or considered as members of the tribe, or to be interested </w:t>
      </w:r>
      <w:bookmarkStart w:id="17" w:name="co_pp_sp_780_106_1"/>
      <w:bookmarkEnd w:id="17"/>
      <w:r>
        <w:rPr>
          <w:rFonts w:ascii="Times New Roman" w:hAnsi="Times New Roman" w:cs="Times New Roman"/>
          <w:color w:val="1F1F1F"/>
          <w:sz w:val="20"/>
          <w:szCs w:val="20"/>
        </w:rPr>
        <w:t>in any provision made or to be made by the United States for its benefit, ‘and they and their descendants shall thenceforth be admitted to all the rights and privileges of citizens of the United States.’ 16 St. 406.</w:t>
      </w:r>
    </w:p>
    <w:p w14:paraId="27CBEDB3"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556AAF9D"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The pension act exempts Indian claimants of pensions for service in the army or navy from the obligation to take the oath to support the constitution of the United States. Act of March 3, 1873,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234, § 28, (17 St. 574; Rev. St. § 4721.) The recent statutes concerning homesteads are quite inconsistent with the theory that Indians do or can make themselves independent citizens by living apart from their tribe. The act of March 3, 1875,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131, § 15, allowed to ‘any Indian born in the United States, who is the head of a family, or who has arrived at the age of twenty-one years, and who has abandoned, or may hereafter abandon, his tribal relations,’ the benefit of the homestead acts, but only upon condition of his ‘making satisfactory proof of such abandonment, under rules to be prescribed by the secretary of the interior;’ and further provided that his title in the homestead should be absolutely inalienable for five years from the date of the patent, and that he should be entitled</w:t>
      </w:r>
      <w:bookmarkStart w:id="18" w:name="co_pp_sp_708_48_1"/>
      <w:bookmarkEnd w:id="18"/>
      <w:r>
        <w:rPr>
          <w:rFonts w:ascii="Times New Roman" w:hAnsi="Times New Roman" w:cs="Times New Roman"/>
          <w:color w:val="1F1F1F"/>
          <w:sz w:val="20"/>
          <w:szCs w:val="20"/>
        </w:rPr>
        <w:t xml:space="preserve"> to share in all annuities, tribal funds, lands, and other property, as if he had maintained his tribal relations. 18 St. 420. And the act of March 3, 1884,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180, § 1, while it allows Indians ‘located on public lands’ to ‘avail themselves of the homestead laws as fully, and to the same extent, as may now be done by citizens of the United States,’ provides that the form and the legal effect of the patent shall be that the United States does and will hold the land for twenty-five years in trust for the Indian making the entry, and his widow and heirs, and will then convey it in fee to him or them. 23 St. 96. The national legislation has tended more and more towards the education and civilization of the Indians, and fitting them to be citizens. But the question whether any Indian tribes, or any members thereof, have become so far advanced in civilization that they should be let out of the state of pupilage, and admitted to the privileges and responsibilities of citizenship, is a question to be decided by the nation whose wards they are</w:t>
      </w:r>
      <w:bookmarkStart w:id="19" w:name="co_pp_sp_780_107_1"/>
      <w:bookmarkEnd w:id="19"/>
      <w:r>
        <w:rPr>
          <w:rFonts w:ascii="Times New Roman" w:hAnsi="Times New Roman" w:cs="Times New Roman"/>
          <w:color w:val="1F1F1F"/>
          <w:sz w:val="20"/>
          <w:szCs w:val="20"/>
        </w:rPr>
        <w:t xml:space="preserve"> and whose citizens they seek to become, and not by each Indian for himself. There is nothing in the statutes or decisions, referred to by counsel, to control the conclusion to which we have been brought by a consideration of the language of the fourteenth amendment, and of the condition of the Indians at the time of its proposal and ratification.</w:t>
      </w:r>
    </w:p>
    <w:p w14:paraId="78DFEDBA"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41AFF4A7"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The act of July 27, 1868,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249, declaring the right of expatriation to be a natural and inherent right of all people, and reciting that ‘in the recognition of this principle this government has freely received emigrants from all nations, and invested them with the rights of citizenship,’ while it affirms the right of every man to expatriate himself from </w:t>
      </w:r>
      <w:r>
        <w:rPr>
          <w:rFonts w:ascii="Times New Roman" w:hAnsi="Times New Roman" w:cs="Times New Roman"/>
          <w:color w:val="1F1F1F"/>
          <w:sz w:val="20"/>
          <w:szCs w:val="20"/>
        </w:rPr>
        <w:lastRenderedPageBreak/>
        <w:t xml:space="preserve">one country, contains nothing to enable him to become a citizen of another without being naturalized under its authority. 15 St. 223; Rev. St. § 1999. The provision of the act of congress of March 3, 1871,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120, that ‘hereafter no Indian nation or tribe within the territory of the United States shall be acknowledged or recognized as an independent nation, tribe, or power with whom the United States may contract by treaty,’ is coupled with a provision that the obligation of any treaty already lawfully made is not to be thereby invalidated or impaired; and its utmost possible effect is to require the Indian tribes to be dealt with for the future through the legislative and not through the treaty-making power. 16 St. 566; Rev. St. § 2079.</w:t>
      </w:r>
    </w:p>
    <w:p w14:paraId="16497CB8"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1C424E5A"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In the case of </w:t>
      </w:r>
      <w:hyperlink r:id="rId34" w:history="1">
        <w:r>
          <w:rPr>
            <w:rFonts w:ascii="Times New Roman" w:hAnsi="Times New Roman" w:cs="Times New Roman"/>
            <w:i/>
            <w:iCs/>
            <w:color w:val="006FC4"/>
            <w:sz w:val="20"/>
            <w:szCs w:val="20"/>
          </w:rPr>
          <w:t>U. S.</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Elm</w:t>
        </w:r>
        <w:r>
          <w:rPr>
            <w:rFonts w:ascii="Times New Roman" w:hAnsi="Times New Roman" w:cs="Times New Roman"/>
            <w:color w:val="006FC4"/>
            <w:sz w:val="20"/>
            <w:szCs w:val="20"/>
          </w:rPr>
          <w:t>, 23 Int. Rev. Rec. 419</w:t>
        </w:r>
      </w:hyperlink>
      <w:r>
        <w:rPr>
          <w:rFonts w:ascii="Times New Roman" w:hAnsi="Times New Roman" w:cs="Times New Roman"/>
          <w:color w:val="1F1F1F"/>
          <w:sz w:val="20"/>
          <w:szCs w:val="20"/>
        </w:rPr>
        <w:t xml:space="preserve">, decided by Judge WALLACE in the district court of the United States for the Northern district of New York, the Indian who was held to have a right to vote in 1876 was born in the state of New York, one of the remnants of a tribe which had ceased to exist as a tribe in that state; and by a statute of the state it had been enacted that any native Indian might purchase, take, hold, and convey lands, and, whenever he should have become a freeholder to the value of $100, should be liable to taxation, and to the civil jurisdiction of the courts, in the same manner and to the same extent as a citizen. N. Y. St. 1843,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87. The condition of the tribe from which he </w:t>
      </w:r>
      <w:bookmarkStart w:id="20" w:name="co_pp_sp_780_108_1"/>
      <w:bookmarkEnd w:id="20"/>
      <w:r>
        <w:rPr>
          <w:rFonts w:ascii="Times New Roman" w:hAnsi="Times New Roman" w:cs="Times New Roman"/>
          <w:color w:val="1F1F1F"/>
          <w:sz w:val="20"/>
          <w:szCs w:val="20"/>
        </w:rPr>
        <w:t xml:space="preserve">derived his origin, so far as any fragments of it remained within the state of New York, resembled the condition of those Indian nations of which Mr. Justice JOHNSON said in </w:t>
      </w:r>
      <w:hyperlink r:id="rId35" w:history="1">
        <w:r>
          <w:rPr>
            <w:rFonts w:ascii="Times New Roman" w:hAnsi="Times New Roman" w:cs="Times New Roman"/>
            <w:i/>
            <w:iCs/>
            <w:color w:val="006FC4"/>
            <w:sz w:val="20"/>
            <w:szCs w:val="20"/>
          </w:rPr>
          <w:t>Fletcher</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Peck</w:t>
        </w:r>
        <w:r>
          <w:rPr>
            <w:rFonts w:ascii="Times New Roman" w:hAnsi="Times New Roman" w:cs="Times New Roman"/>
            <w:color w:val="006FC4"/>
            <w:sz w:val="20"/>
            <w:szCs w:val="20"/>
          </w:rPr>
          <w:t xml:space="preserve">, 6 </w:t>
        </w:r>
        <w:proofErr w:type="spellStart"/>
        <w:r>
          <w:rPr>
            <w:rFonts w:ascii="Times New Roman" w:hAnsi="Times New Roman" w:cs="Times New Roman"/>
            <w:color w:val="006FC4"/>
            <w:sz w:val="20"/>
            <w:szCs w:val="20"/>
          </w:rPr>
          <w:t>Cranch</w:t>
        </w:r>
        <w:proofErr w:type="spellEnd"/>
        <w:r>
          <w:rPr>
            <w:rFonts w:ascii="Times New Roman" w:hAnsi="Times New Roman" w:cs="Times New Roman"/>
            <w:color w:val="006FC4"/>
            <w:sz w:val="20"/>
            <w:szCs w:val="20"/>
          </w:rPr>
          <w:t>, 87, 146,</w:t>
        </w:r>
      </w:hyperlink>
      <w:r>
        <w:rPr>
          <w:rFonts w:ascii="Times New Roman" w:hAnsi="Times New Roman" w:cs="Times New Roman"/>
          <w:color w:val="1F1F1F"/>
          <w:sz w:val="20"/>
          <w:szCs w:val="20"/>
        </w:rPr>
        <w:t xml:space="preserve"> that they ‘have totally extinguished their national fire, and submitted themselves to the laws of the states;’ and which Mr. Justice MCLEAN had in view when he observed in </w:t>
      </w:r>
      <w:hyperlink r:id="rId36" w:history="1">
        <w:r>
          <w:rPr>
            <w:rFonts w:ascii="Times New Roman" w:hAnsi="Times New Roman" w:cs="Times New Roman"/>
            <w:i/>
            <w:iCs/>
            <w:color w:val="006FC4"/>
            <w:sz w:val="20"/>
            <w:szCs w:val="20"/>
          </w:rPr>
          <w:t>Worcester</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Georgia</w:t>
        </w:r>
        <w:r>
          <w:rPr>
            <w:rFonts w:ascii="Times New Roman" w:hAnsi="Times New Roman" w:cs="Times New Roman"/>
            <w:color w:val="006FC4"/>
            <w:sz w:val="20"/>
            <w:szCs w:val="20"/>
          </w:rPr>
          <w:t>, 6 Pet. 515, 580,</w:t>
        </w:r>
      </w:hyperlink>
      <w:r>
        <w:rPr>
          <w:rFonts w:ascii="Times New Roman" w:hAnsi="Times New Roman" w:cs="Times New Roman"/>
          <w:color w:val="1F1F1F"/>
          <w:sz w:val="20"/>
          <w:szCs w:val="20"/>
        </w:rPr>
        <w:t xml:space="preserve"> that in some of the old states ‘where small remnants of tribes remain, surrounded by white population, and who, by their reduced numbers, had lost the power of self-government, the laws of the state have been extended over them, for the protection of their persons and property.’ See, also, as to the condition of Indians in Massachusetts, remnants of tribes never recognized by the treaties or legislative or executive acts of the United States as distinct political communities, </w:t>
      </w:r>
      <w:hyperlink r:id="rId37" w:history="1">
        <w:r>
          <w:rPr>
            <w:rFonts w:ascii="Times New Roman" w:hAnsi="Times New Roman" w:cs="Times New Roman"/>
            <w:i/>
            <w:iCs/>
            <w:color w:val="006FC4"/>
            <w:sz w:val="20"/>
            <w:szCs w:val="20"/>
          </w:rPr>
          <w:t>Danzell</w:t>
        </w:r>
        <w:r>
          <w:rPr>
            <w:rFonts w:ascii="Times New Roman" w:hAnsi="Times New Roman" w:cs="Times New Roman"/>
            <w:color w:val="006FC4"/>
            <w:sz w:val="20"/>
            <w:szCs w:val="20"/>
          </w:rPr>
          <w:t xml:space="preserve"> v. </w:t>
        </w:r>
        <w:proofErr w:type="spellStart"/>
        <w:r>
          <w:rPr>
            <w:rFonts w:ascii="Times New Roman" w:hAnsi="Times New Roman" w:cs="Times New Roman"/>
            <w:i/>
            <w:iCs/>
            <w:color w:val="006FC4"/>
            <w:sz w:val="20"/>
            <w:szCs w:val="20"/>
          </w:rPr>
          <w:t>Webquish</w:t>
        </w:r>
        <w:proofErr w:type="spellEnd"/>
        <w:r>
          <w:rPr>
            <w:rFonts w:ascii="Times New Roman" w:hAnsi="Times New Roman" w:cs="Times New Roman"/>
            <w:color w:val="006FC4"/>
            <w:sz w:val="20"/>
            <w:szCs w:val="20"/>
          </w:rPr>
          <w:t>, 108 Mass. 133;</w:t>
        </w:r>
      </w:hyperlink>
      <w:r>
        <w:rPr>
          <w:rFonts w:ascii="Times New Roman" w:hAnsi="Times New Roman" w:cs="Times New Roman"/>
          <w:color w:val="1F1F1F"/>
          <w:sz w:val="20"/>
          <w:szCs w:val="20"/>
        </w:rPr>
        <w:t xml:space="preserve"> </w:t>
      </w:r>
      <w:hyperlink r:id="rId38" w:history="1">
        <w:r>
          <w:rPr>
            <w:rFonts w:ascii="Times New Roman" w:hAnsi="Times New Roman" w:cs="Times New Roman"/>
            <w:i/>
            <w:iCs/>
            <w:color w:val="006FC4"/>
            <w:sz w:val="20"/>
            <w:szCs w:val="20"/>
          </w:rPr>
          <w:t>Pells</w:t>
        </w:r>
        <w:r>
          <w:rPr>
            <w:rFonts w:ascii="Times New Roman" w:hAnsi="Times New Roman" w:cs="Times New Roman"/>
            <w:color w:val="006FC4"/>
            <w:sz w:val="20"/>
            <w:szCs w:val="20"/>
          </w:rPr>
          <w:t xml:space="preserve"> v. </w:t>
        </w:r>
        <w:proofErr w:type="spellStart"/>
        <w:r>
          <w:rPr>
            <w:rFonts w:ascii="Times New Roman" w:hAnsi="Times New Roman" w:cs="Times New Roman"/>
            <w:i/>
            <w:iCs/>
            <w:color w:val="006FC4"/>
            <w:sz w:val="20"/>
            <w:szCs w:val="20"/>
          </w:rPr>
          <w:t>Webquish</w:t>
        </w:r>
        <w:proofErr w:type="spellEnd"/>
        <w:r>
          <w:rPr>
            <w:rFonts w:ascii="Times New Roman" w:hAnsi="Times New Roman" w:cs="Times New Roman"/>
            <w:color w:val="006FC4"/>
            <w:sz w:val="20"/>
            <w:szCs w:val="20"/>
          </w:rPr>
          <w:t>, 129 Mass. 469;</w:t>
        </w:r>
      </w:hyperlink>
      <w:r>
        <w:rPr>
          <w:rFonts w:ascii="Times New Roman" w:hAnsi="Times New Roman" w:cs="Times New Roman"/>
          <w:color w:val="1F1F1F"/>
          <w:sz w:val="20"/>
          <w:szCs w:val="20"/>
        </w:rPr>
        <w:t xml:space="preserve"> Mass. St. 1862,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184; 1869,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463.</w:t>
      </w:r>
    </w:p>
    <w:p w14:paraId="36C48C51"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2D47CD0E"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bookmarkStart w:id="21" w:name="co_pp_sp_708_49_1"/>
      <w:bookmarkEnd w:id="21"/>
      <w:r>
        <w:rPr>
          <w:rFonts w:ascii="Times New Roman" w:hAnsi="Times New Roman" w:cs="Times New Roman"/>
          <w:color w:val="1F1F1F"/>
          <w:sz w:val="20"/>
          <w:szCs w:val="20"/>
        </w:rPr>
        <w:t xml:space="preserve">The passages cited as favorable to the plaintiff, from the opinions delivered in </w:t>
      </w:r>
      <w:hyperlink r:id="rId39" w:history="1">
        <w:r>
          <w:rPr>
            <w:rFonts w:ascii="Times New Roman" w:hAnsi="Times New Roman" w:cs="Times New Roman"/>
            <w:i/>
            <w:iCs/>
            <w:color w:val="006FC4"/>
            <w:sz w:val="20"/>
            <w:szCs w:val="20"/>
          </w:rPr>
          <w:t xml:space="preserve">Ex </w:t>
        </w:r>
        <w:proofErr w:type="spellStart"/>
        <w:r>
          <w:rPr>
            <w:rFonts w:ascii="Times New Roman" w:hAnsi="Times New Roman" w:cs="Times New Roman"/>
            <w:i/>
            <w:iCs/>
            <w:color w:val="006FC4"/>
            <w:sz w:val="20"/>
            <w:szCs w:val="20"/>
          </w:rPr>
          <w:t>parte</w:t>
        </w:r>
        <w:proofErr w:type="spellEnd"/>
        <w:r>
          <w:rPr>
            <w:rFonts w:ascii="Times New Roman" w:hAnsi="Times New Roman" w:cs="Times New Roman"/>
            <w:i/>
            <w:iCs/>
            <w:color w:val="006FC4"/>
            <w:sz w:val="20"/>
            <w:szCs w:val="20"/>
          </w:rPr>
          <w:t xml:space="preserve"> Kenyon</w:t>
        </w:r>
        <w:r>
          <w:rPr>
            <w:rFonts w:ascii="Times New Roman" w:hAnsi="Times New Roman" w:cs="Times New Roman"/>
            <w:color w:val="006FC4"/>
            <w:sz w:val="20"/>
            <w:szCs w:val="20"/>
          </w:rPr>
          <w:t>, 5 Dill. 385, 390,</w:t>
        </w:r>
      </w:hyperlink>
      <w:r>
        <w:rPr>
          <w:rFonts w:ascii="Times New Roman" w:hAnsi="Times New Roman" w:cs="Times New Roman"/>
          <w:color w:val="1F1F1F"/>
          <w:sz w:val="20"/>
          <w:szCs w:val="20"/>
        </w:rPr>
        <w:t xml:space="preserve"> in </w:t>
      </w:r>
      <w:hyperlink r:id="rId40" w:history="1">
        <w:r>
          <w:rPr>
            <w:rFonts w:ascii="Times New Roman" w:hAnsi="Times New Roman" w:cs="Times New Roman"/>
            <w:i/>
            <w:iCs/>
            <w:color w:val="006FC4"/>
            <w:sz w:val="20"/>
            <w:szCs w:val="20"/>
          </w:rPr>
          <w:t xml:space="preserve">Ex </w:t>
        </w:r>
        <w:proofErr w:type="spellStart"/>
        <w:r>
          <w:rPr>
            <w:rFonts w:ascii="Times New Roman" w:hAnsi="Times New Roman" w:cs="Times New Roman"/>
            <w:i/>
            <w:iCs/>
            <w:color w:val="006FC4"/>
            <w:sz w:val="20"/>
            <w:szCs w:val="20"/>
          </w:rPr>
          <w:t>parte</w:t>
        </w:r>
        <w:proofErr w:type="spellEnd"/>
        <w:r>
          <w:rPr>
            <w:rFonts w:ascii="Times New Roman" w:hAnsi="Times New Roman" w:cs="Times New Roman"/>
            <w:i/>
            <w:iCs/>
            <w:color w:val="006FC4"/>
            <w:sz w:val="20"/>
            <w:szCs w:val="20"/>
          </w:rPr>
          <w:t xml:space="preserve"> Reynolds</w:t>
        </w:r>
        <w:r>
          <w:rPr>
            <w:rFonts w:ascii="Times New Roman" w:hAnsi="Times New Roman" w:cs="Times New Roman"/>
            <w:color w:val="006FC4"/>
            <w:sz w:val="20"/>
            <w:szCs w:val="20"/>
          </w:rPr>
          <w:t>, 5 Dill. 394, 397,</w:t>
        </w:r>
      </w:hyperlink>
      <w:r>
        <w:rPr>
          <w:rFonts w:ascii="Times New Roman" w:hAnsi="Times New Roman" w:cs="Times New Roman"/>
          <w:color w:val="1F1F1F"/>
          <w:sz w:val="20"/>
          <w:szCs w:val="20"/>
        </w:rPr>
        <w:t xml:space="preserve"> and in </w:t>
      </w:r>
      <w:hyperlink r:id="rId41" w:history="1">
        <w:r>
          <w:rPr>
            <w:rFonts w:ascii="Times New Roman" w:hAnsi="Times New Roman" w:cs="Times New Roman"/>
            <w:i/>
            <w:iCs/>
            <w:color w:val="006FC4"/>
            <w:sz w:val="20"/>
            <w:szCs w:val="20"/>
          </w:rPr>
          <w:t>U. S.</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Crook</w:t>
        </w:r>
        <w:r>
          <w:rPr>
            <w:rFonts w:ascii="Times New Roman" w:hAnsi="Times New Roman" w:cs="Times New Roman"/>
            <w:color w:val="006FC4"/>
            <w:sz w:val="20"/>
            <w:szCs w:val="20"/>
          </w:rPr>
          <w:t>, 5 Dill. 453, 464,</w:t>
        </w:r>
      </w:hyperlink>
      <w:r>
        <w:rPr>
          <w:rFonts w:ascii="Times New Roman" w:hAnsi="Times New Roman" w:cs="Times New Roman"/>
          <w:color w:val="1F1F1F"/>
          <w:sz w:val="20"/>
          <w:szCs w:val="20"/>
        </w:rPr>
        <w:t xml:space="preserve"> were </w:t>
      </w:r>
      <w:r>
        <w:rPr>
          <w:rFonts w:ascii="Times New Roman" w:hAnsi="Times New Roman" w:cs="Times New Roman"/>
          <w:i/>
          <w:iCs/>
          <w:color w:val="1F1F1F"/>
          <w:sz w:val="20"/>
          <w:szCs w:val="20"/>
        </w:rPr>
        <w:t>obiter dicta</w:t>
      </w:r>
      <w:r>
        <w:rPr>
          <w:rFonts w:ascii="Times New Roman" w:hAnsi="Times New Roman" w:cs="Times New Roman"/>
          <w:color w:val="1F1F1F"/>
          <w:sz w:val="20"/>
          <w:szCs w:val="20"/>
        </w:rPr>
        <w:t xml:space="preserve">. The </w:t>
      </w:r>
      <w:r>
        <w:rPr>
          <w:rFonts w:ascii="Times New Roman" w:hAnsi="Times New Roman" w:cs="Times New Roman"/>
          <w:i/>
          <w:iCs/>
          <w:color w:val="1F1F1F"/>
          <w:sz w:val="20"/>
          <w:szCs w:val="20"/>
        </w:rPr>
        <w:t>Case of Reynolds</w:t>
      </w:r>
      <w:r>
        <w:rPr>
          <w:rFonts w:ascii="Times New Roman" w:hAnsi="Times New Roman" w:cs="Times New Roman"/>
          <w:color w:val="1F1F1F"/>
          <w:sz w:val="20"/>
          <w:szCs w:val="20"/>
        </w:rPr>
        <w:t xml:space="preserve"> was an indictment, in the circuit court of the United States for the Western district of Arkansas, for a murder in the Indian country, of which that court had jurisdiction if either the accused or the dead man was not an Indian, and was decided by Judge PARKER in favor of the jurisdiction, upon the ground that both were white men, and that, conceding the one to be an Indian by marriage, the other never was an Indian in any sense. </w:t>
      </w:r>
      <w:hyperlink r:id="rId42" w:history="1">
        <w:r>
          <w:rPr>
            <w:rFonts w:ascii="Times New Roman" w:hAnsi="Times New Roman" w:cs="Times New Roman"/>
            <w:color w:val="006FC4"/>
            <w:sz w:val="20"/>
            <w:szCs w:val="20"/>
          </w:rPr>
          <w:t>5 Dill. 397, 404.</w:t>
        </w:r>
      </w:hyperlink>
      <w:r>
        <w:rPr>
          <w:rFonts w:ascii="Times New Roman" w:hAnsi="Times New Roman" w:cs="Times New Roman"/>
          <w:color w:val="1F1F1F"/>
          <w:sz w:val="20"/>
          <w:szCs w:val="20"/>
        </w:rPr>
        <w:t xml:space="preserve"> Each of the other two cases was a writ of </w:t>
      </w:r>
      <w:r>
        <w:rPr>
          <w:rFonts w:ascii="Times New Roman" w:hAnsi="Times New Roman" w:cs="Times New Roman"/>
          <w:i/>
          <w:iCs/>
          <w:color w:val="1F1F1F"/>
          <w:sz w:val="20"/>
          <w:szCs w:val="20"/>
        </w:rPr>
        <w:t>habeas corpus;</w:t>
      </w:r>
      <w:r>
        <w:rPr>
          <w:rFonts w:ascii="Times New Roman" w:hAnsi="Times New Roman" w:cs="Times New Roman"/>
          <w:color w:val="1F1F1F"/>
          <w:sz w:val="20"/>
          <w:szCs w:val="20"/>
        </w:rPr>
        <w:t xml:space="preserve"> and any person, whether a citizen or not, unlawfully restrained of his liberty, is entitled to that writ. </w:t>
      </w:r>
      <w:r>
        <w:rPr>
          <w:rFonts w:ascii="Times New Roman" w:hAnsi="Times New Roman" w:cs="Times New Roman"/>
          <w:i/>
          <w:iCs/>
          <w:color w:val="1F1F1F"/>
          <w:sz w:val="20"/>
          <w:szCs w:val="20"/>
        </w:rPr>
        <w:t>Case of the Hottentot Venus</w:t>
      </w:r>
      <w:r>
        <w:rPr>
          <w:rFonts w:ascii="Times New Roman" w:hAnsi="Times New Roman" w:cs="Times New Roman"/>
          <w:color w:val="1F1F1F"/>
          <w:sz w:val="20"/>
          <w:szCs w:val="20"/>
        </w:rPr>
        <w:t xml:space="preserve">, 13 East, 195; </w:t>
      </w:r>
      <w:hyperlink r:id="rId43" w:history="1">
        <w:r>
          <w:rPr>
            <w:rFonts w:ascii="Times New Roman" w:hAnsi="Times New Roman" w:cs="Times New Roman"/>
            <w:i/>
            <w:iCs/>
            <w:color w:val="006FC4"/>
            <w:sz w:val="20"/>
            <w:szCs w:val="20"/>
          </w:rPr>
          <w:t>Case of Dos Santos</w:t>
        </w:r>
        <w:r>
          <w:rPr>
            <w:rFonts w:ascii="Times New Roman" w:hAnsi="Times New Roman" w:cs="Times New Roman"/>
            <w:color w:val="006FC4"/>
            <w:sz w:val="20"/>
            <w:szCs w:val="20"/>
          </w:rPr>
          <w:t>, 2 Brock. 493;</w:t>
        </w:r>
      </w:hyperlink>
      <w:r>
        <w:rPr>
          <w:rFonts w:ascii="Times New Roman" w:hAnsi="Times New Roman" w:cs="Times New Roman"/>
          <w:color w:val="1F1F1F"/>
          <w:sz w:val="20"/>
          <w:szCs w:val="20"/>
        </w:rPr>
        <w:t xml:space="preserve"> </w:t>
      </w:r>
      <w:hyperlink r:id="rId44" w:history="1">
        <w:r>
          <w:rPr>
            <w:rFonts w:ascii="Times New Roman" w:hAnsi="Times New Roman" w:cs="Times New Roman"/>
            <w:i/>
            <w:iCs/>
            <w:color w:val="006FC4"/>
            <w:sz w:val="20"/>
            <w:szCs w:val="20"/>
          </w:rPr>
          <w:t>In re Kaine</w:t>
        </w:r>
        <w:r>
          <w:rPr>
            <w:rFonts w:ascii="Times New Roman" w:hAnsi="Times New Roman" w:cs="Times New Roman"/>
            <w:color w:val="006FC4"/>
            <w:sz w:val="20"/>
            <w:szCs w:val="20"/>
          </w:rPr>
          <w:t>, 14 How. 103.</w:t>
        </w:r>
      </w:hyperlink>
      <w:r>
        <w:rPr>
          <w:rFonts w:ascii="Times New Roman" w:hAnsi="Times New Roman" w:cs="Times New Roman"/>
          <w:color w:val="1F1F1F"/>
          <w:sz w:val="20"/>
          <w:szCs w:val="20"/>
        </w:rPr>
        <w:t xml:space="preserve"> In </w:t>
      </w:r>
      <w:r>
        <w:rPr>
          <w:rFonts w:ascii="Times New Roman" w:hAnsi="Times New Roman" w:cs="Times New Roman"/>
          <w:i/>
          <w:iCs/>
          <w:color w:val="1F1F1F"/>
          <w:sz w:val="20"/>
          <w:szCs w:val="20"/>
        </w:rPr>
        <w:t>Kenyon’s Case</w:t>
      </w:r>
      <w:r>
        <w:rPr>
          <w:rFonts w:ascii="Times New Roman" w:hAnsi="Times New Roman" w:cs="Times New Roman"/>
          <w:color w:val="1F1F1F"/>
          <w:sz w:val="20"/>
          <w:szCs w:val="20"/>
        </w:rPr>
        <w:t xml:space="preserve">, judge PARKER held that the court in which the prisoner had been convicted had no jurisdiction of the subject-matter, because the place of the commission of the act was beyond the territorial limits of its jurisdiction, and, as was truly said, ‘this alone would be conclusive of this case.’ </w:t>
      </w:r>
      <w:bookmarkStart w:id="22" w:name="co_pp_sp_780_109_1"/>
      <w:bookmarkEnd w:id="22"/>
      <w:r>
        <w:rPr>
          <w:rFonts w:ascii="Times New Roman" w:hAnsi="Times New Roman" w:cs="Times New Roman"/>
          <w:color w:val="1F1F1F"/>
          <w:sz w:val="20"/>
          <w:szCs w:val="20"/>
        </w:rPr>
        <w:fldChar w:fldCharType="begin"/>
      </w:r>
      <w:r>
        <w:rPr>
          <w:rFonts w:ascii="Times New Roman" w:hAnsi="Times New Roman" w:cs="Times New Roman"/>
          <w:color w:val="1F1F1F"/>
          <w:sz w:val="20"/>
          <w:szCs w:val="20"/>
        </w:rPr>
        <w:instrText xml:space="preserve">HYPERLINK "https://www.westlaw.com/Link/Document/FullText?findType=Y&amp;serNum=1800121397&amp;pubNum=329&amp;originatingDoc=I8616d4739cbf11d9a707f4371c9c34f0&amp;refType=RP&amp;originationContext=document&amp;vr=3.0&amp;rs=cblt1.0&amp;transitionType=DocumentItem&amp;contextData=(sc.Default)" </w:instrText>
      </w:r>
      <w:r>
        <w:rPr>
          <w:rFonts w:ascii="Times New Roman" w:hAnsi="Times New Roman" w:cs="Times New Roman"/>
          <w:color w:val="1F1F1F"/>
          <w:sz w:val="20"/>
          <w:szCs w:val="20"/>
        </w:rPr>
      </w:r>
      <w:r>
        <w:rPr>
          <w:rFonts w:ascii="Times New Roman" w:hAnsi="Times New Roman" w:cs="Times New Roman"/>
          <w:color w:val="1F1F1F"/>
          <w:sz w:val="20"/>
          <w:szCs w:val="20"/>
        </w:rPr>
        <w:fldChar w:fldCharType="separate"/>
      </w:r>
      <w:r>
        <w:rPr>
          <w:rFonts w:ascii="Times New Roman" w:hAnsi="Times New Roman" w:cs="Times New Roman"/>
          <w:color w:val="006FC4"/>
          <w:sz w:val="20"/>
          <w:szCs w:val="20"/>
        </w:rPr>
        <w:t>5 Dill. 390.</w:t>
      </w:r>
      <w:r>
        <w:rPr>
          <w:rFonts w:ascii="Times New Roman" w:hAnsi="Times New Roman" w:cs="Times New Roman"/>
          <w:color w:val="1F1F1F"/>
          <w:sz w:val="20"/>
          <w:szCs w:val="20"/>
        </w:rPr>
        <w:fldChar w:fldCharType="end"/>
      </w:r>
      <w:r>
        <w:rPr>
          <w:rFonts w:ascii="Times New Roman" w:hAnsi="Times New Roman" w:cs="Times New Roman"/>
          <w:color w:val="1F1F1F"/>
          <w:sz w:val="20"/>
          <w:szCs w:val="20"/>
        </w:rPr>
        <w:t xml:space="preserve"> In </w:t>
      </w:r>
      <w:r>
        <w:rPr>
          <w:rFonts w:ascii="Times New Roman" w:hAnsi="Times New Roman" w:cs="Times New Roman"/>
          <w:i/>
          <w:iCs/>
          <w:color w:val="1F1F1F"/>
          <w:sz w:val="20"/>
          <w:szCs w:val="20"/>
        </w:rPr>
        <w:t>U. S.</w:t>
      </w:r>
      <w:r>
        <w:rPr>
          <w:rFonts w:ascii="Times New Roman" w:hAnsi="Times New Roman" w:cs="Times New Roman"/>
          <w:color w:val="1F1F1F"/>
          <w:sz w:val="20"/>
          <w:szCs w:val="20"/>
        </w:rPr>
        <w:t xml:space="preserve"> v. </w:t>
      </w:r>
      <w:r>
        <w:rPr>
          <w:rFonts w:ascii="Times New Roman" w:hAnsi="Times New Roman" w:cs="Times New Roman"/>
          <w:i/>
          <w:iCs/>
          <w:color w:val="1F1F1F"/>
          <w:sz w:val="20"/>
          <w:szCs w:val="20"/>
        </w:rPr>
        <w:t>Crook</w:t>
      </w:r>
      <w:r>
        <w:rPr>
          <w:rFonts w:ascii="Times New Roman" w:hAnsi="Times New Roman" w:cs="Times New Roman"/>
          <w:color w:val="1F1F1F"/>
          <w:sz w:val="20"/>
          <w:szCs w:val="20"/>
        </w:rPr>
        <w:t>, the Ponca Indians were discharged by Judge DUNDY because the military officers who held them were taking them to the Indian Territory by force and without any lawful authority, (</w:t>
      </w:r>
      <w:hyperlink r:id="rId45" w:history="1">
        <w:r>
          <w:rPr>
            <w:rFonts w:ascii="Times New Roman" w:hAnsi="Times New Roman" w:cs="Times New Roman"/>
            <w:color w:val="006FC4"/>
            <w:sz w:val="20"/>
            <w:szCs w:val="20"/>
          </w:rPr>
          <w:t>5 Dill. 468;)</w:t>
        </w:r>
      </w:hyperlink>
      <w:r>
        <w:rPr>
          <w:rFonts w:ascii="Times New Roman" w:hAnsi="Times New Roman" w:cs="Times New Roman"/>
          <w:color w:val="1F1F1F"/>
          <w:sz w:val="20"/>
          <w:szCs w:val="20"/>
        </w:rPr>
        <w:t xml:space="preserve"> and in the case at bar, as the record before us shows, that learned judge concurred in the judgment below for the defendant.</w:t>
      </w:r>
    </w:p>
    <w:p w14:paraId="36924C75"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258BEB17"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The law upon the question before us has been well stated by Judge DEADY in the district court of the United States for the district of Oregon. In giving judgment against the plaintiff in a case resembling the case at bar, he said: ‘Being born a member of ‘an independent political community’-the Chinook-he was not born subject to the jurisdiction of the United States-not born in its allegiance.’ </w:t>
      </w:r>
      <w:hyperlink r:id="rId46" w:history="1">
        <w:r>
          <w:rPr>
            <w:rFonts w:ascii="Times New Roman" w:hAnsi="Times New Roman" w:cs="Times New Roman"/>
            <w:i/>
            <w:iCs/>
            <w:color w:val="006FC4"/>
            <w:sz w:val="20"/>
            <w:szCs w:val="20"/>
          </w:rPr>
          <w:t>McKay</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Campbell</w:t>
        </w:r>
        <w:r>
          <w:rPr>
            <w:rFonts w:ascii="Times New Roman" w:hAnsi="Times New Roman" w:cs="Times New Roman"/>
            <w:color w:val="006FC4"/>
            <w:sz w:val="20"/>
            <w:szCs w:val="20"/>
          </w:rPr>
          <w:t xml:space="preserve">, 2 </w:t>
        </w:r>
        <w:proofErr w:type="spellStart"/>
        <w:r>
          <w:rPr>
            <w:rFonts w:ascii="Times New Roman" w:hAnsi="Times New Roman" w:cs="Times New Roman"/>
            <w:color w:val="006FC4"/>
            <w:sz w:val="20"/>
            <w:szCs w:val="20"/>
          </w:rPr>
          <w:t>Sawy</w:t>
        </w:r>
        <w:proofErr w:type="spellEnd"/>
        <w:r>
          <w:rPr>
            <w:rFonts w:ascii="Times New Roman" w:hAnsi="Times New Roman" w:cs="Times New Roman"/>
            <w:color w:val="006FC4"/>
            <w:sz w:val="20"/>
            <w:szCs w:val="20"/>
          </w:rPr>
          <w:t>. 118, 134.</w:t>
        </w:r>
      </w:hyperlink>
      <w:r>
        <w:rPr>
          <w:rFonts w:ascii="Times New Roman" w:hAnsi="Times New Roman" w:cs="Times New Roman"/>
          <w:color w:val="1F1F1F"/>
          <w:sz w:val="20"/>
          <w:szCs w:val="20"/>
        </w:rPr>
        <w:t xml:space="preserve"> And in a later case he said: ‘But an Indian cannot make himself a citizen of the United States without the consent and co-operation of the government. The fact that he has abandoned his nomadic life or tribal relations, and adopted the habits and manners of civilized people, may be a good reason why he should be made a citizen of the United States, but does not of itself make him one. To be a citizen of the United States is a political privilege which no one, not born to, can assume without its consent in some form. The Indians in Oregon, not being born subject to the jurisdiction of the United States, were not born citizens thereof, and I am not aware of any law or treaty by which any of them have been made so since.’ </w:t>
      </w:r>
      <w:hyperlink r:id="rId47" w:history="1">
        <w:r>
          <w:rPr>
            <w:rFonts w:ascii="Times New Roman" w:hAnsi="Times New Roman" w:cs="Times New Roman"/>
            <w:i/>
            <w:iCs/>
            <w:color w:val="006FC4"/>
            <w:sz w:val="20"/>
            <w:szCs w:val="20"/>
          </w:rPr>
          <w:t>U. S.</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Osborne</w:t>
        </w:r>
        <w:r>
          <w:rPr>
            <w:rFonts w:ascii="Times New Roman" w:hAnsi="Times New Roman" w:cs="Times New Roman"/>
            <w:color w:val="006FC4"/>
            <w:sz w:val="20"/>
            <w:szCs w:val="20"/>
          </w:rPr>
          <w:t xml:space="preserve">, 6 </w:t>
        </w:r>
        <w:proofErr w:type="spellStart"/>
        <w:r>
          <w:rPr>
            <w:rFonts w:ascii="Times New Roman" w:hAnsi="Times New Roman" w:cs="Times New Roman"/>
            <w:color w:val="006FC4"/>
            <w:sz w:val="20"/>
            <w:szCs w:val="20"/>
          </w:rPr>
          <w:t>Sawy</w:t>
        </w:r>
        <w:proofErr w:type="spellEnd"/>
        <w:r>
          <w:rPr>
            <w:rFonts w:ascii="Times New Roman" w:hAnsi="Times New Roman" w:cs="Times New Roman"/>
            <w:color w:val="006FC4"/>
            <w:sz w:val="20"/>
            <w:szCs w:val="20"/>
          </w:rPr>
          <w:t>. 406, 409.</w:t>
        </w:r>
      </w:hyperlink>
      <w:r>
        <w:rPr>
          <w:rFonts w:ascii="Times New Roman" w:hAnsi="Times New Roman" w:cs="Times New Roman"/>
          <w:color w:val="1F1F1F"/>
          <w:sz w:val="20"/>
          <w:szCs w:val="20"/>
        </w:rPr>
        <w:t xml:space="preserve"> Upon the question whether any action of a state can confer rights of citizenship on Indians of a tribe still recognized by the United States as retaining its tribal existence, we need not, and do not, express an opinion, because the state of Nebraska is not shown to have taken any action affecting the condition of this plaintiff. See </w:t>
      </w:r>
      <w:hyperlink r:id="rId48" w:history="1">
        <w:r>
          <w:rPr>
            <w:rFonts w:ascii="Times New Roman" w:hAnsi="Times New Roman" w:cs="Times New Roman"/>
            <w:i/>
            <w:iCs/>
            <w:color w:val="006FC4"/>
            <w:sz w:val="20"/>
            <w:szCs w:val="20"/>
          </w:rPr>
          <w:t>Chirac</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Chirac</w:t>
        </w:r>
        <w:r>
          <w:rPr>
            <w:rFonts w:ascii="Times New Roman" w:hAnsi="Times New Roman" w:cs="Times New Roman"/>
            <w:color w:val="006FC4"/>
            <w:sz w:val="20"/>
            <w:szCs w:val="20"/>
          </w:rPr>
          <w:t>, 2 Wheat. 259;</w:t>
        </w:r>
      </w:hyperlink>
      <w:r>
        <w:rPr>
          <w:rFonts w:ascii="Times New Roman" w:hAnsi="Times New Roman" w:cs="Times New Roman"/>
          <w:color w:val="1F1F1F"/>
          <w:sz w:val="20"/>
          <w:szCs w:val="20"/>
        </w:rPr>
        <w:t xml:space="preserve"> </w:t>
      </w:r>
      <w:hyperlink r:id="rId49" w:history="1">
        <w:r>
          <w:rPr>
            <w:rFonts w:ascii="Times New Roman" w:hAnsi="Times New Roman" w:cs="Times New Roman"/>
            <w:i/>
            <w:iCs/>
            <w:color w:val="006FC4"/>
            <w:sz w:val="20"/>
            <w:szCs w:val="20"/>
          </w:rPr>
          <w:t>Fellows</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Blacksmith</w:t>
        </w:r>
        <w:r>
          <w:rPr>
            <w:rFonts w:ascii="Times New Roman" w:hAnsi="Times New Roman" w:cs="Times New Roman"/>
            <w:color w:val="006FC4"/>
            <w:sz w:val="20"/>
            <w:szCs w:val="20"/>
          </w:rPr>
          <w:t>, 19 How. 366;</w:t>
        </w:r>
      </w:hyperlink>
      <w:r>
        <w:rPr>
          <w:rFonts w:ascii="Times New Roman" w:hAnsi="Times New Roman" w:cs="Times New Roman"/>
          <w:color w:val="1F1F1F"/>
          <w:sz w:val="20"/>
          <w:szCs w:val="20"/>
        </w:rPr>
        <w:t xml:space="preserve"> </w:t>
      </w:r>
      <w:hyperlink r:id="rId50" w:history="1">
        <w:r>
          <w:rPr>
            <w:rFonts w:ascii="Times New Roman" w:hAnsi="Times New Roman" w:cs="Times New Roman"/>
            <w:i/>
            <w:iCs/>
            <w:color w:val="006FC4"/>
            <w:sz w:val="20"/>
            <w:szCs w:val="20"/>
          </w:rPr>
          <w:t>U. S.</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Holliday</w:t>
        </w:r>
        <w:r>
          <w:rPr>
            <w:rFonts w:ascii="Times New Roman" w:hAnsi="Times New Roman" w:cs="Times New Roman"/>
            <w:color w:val="006FC4"/>
            <w:sz w:val="20"/>
            <w:szCs w:val="20"/>
          </w:rPr>
          <w:t>, 3 Wall. 407, 420;</w:t>
        </w:r>
      </w:hyperlink>
      <w:r>
        <w:rPr>
          <w:rFonts w:ascii="Times New Roman" w:hAnsi="Times New Roman" w:cs="Times New Roman"/>
          <w:color w:val="1F1F1F"/>
          <w:sz w:val="20"/>
          <w:szCs w:val="20"/>
        </w:rPr>
        <w:t xml:space="preserve"> </w:t>
      </w:r>
      <w:hyperlink r:id="rId51" w:history="1">
        <w:r>
          <w:rPr>
            <w:rFonts w:ascii="Times New Roman" w:hAnsi="Times New Roman" w:cs="Times New Roman"/>
            <w:i/>
            <w:iCs/>
            <w:color w:val="006FC4"/>
            <w:sz w:val="20"/>
            <w:szCs w:val="20"/>
          </w:rPr>
          <w:t>U. S.</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Joseph</w:t>
        </w:r>
        <w:r>
          <w:rPr>
            <w:rFonts w:ascii="Times New Roman" w:hAnsi="Times New Roman" w:cs="Times New Roman"/>
            <w:color w:val="006FC4"/>
            <w:sz w:val="20"/>
            <w:szCs w:val="20"/>
          </w:rPr>
          <w:t>, 94 U. S. 614, 618.</w:t>
        </w:r>
      </w:hyperlink>
      <w:r>
        <w:rPr>
          <w:rFonts w:ascii="Times New Roman" w:hAnsi="Times New Roman" w:cs="Times New Roman"/>
          <w:color w:val="1F1F1F"/>
          <w:sz w:val="20"/>
          <w:szCs w:val="20"/>
        </w:rPr>
        <w:t xml:space="preserve"> The plaintiff, not being a citizen of the United States under the fourteenth amendment of the constitution, has been deprived of no right secured by the fifteenth amendment, and cannot maintain this action. Judgment affirmed.</w:t>
      </w:r>
      <w:bookmarkStart w:id="23" w:name="co_dissent_opinion_1"/>
      <w:bookmarkEnd w:id="23"/>
    </w:p>
    <w:p w14:paraId="03C688E2" w14:textId="77777777" w:rsidR="009D79C8" w:rsidRDefault="009D79C8" w:rsidP="009D79C8">
      <w:pPr>
        <w:widowControl w:val="0"/>
        <w:autoSpaceDE w:val="0"/>
        <w:autoSpaceDN w:val="0"/>
        <w:adjustRightInd w:val="0"/>
        <w:spacing w:before="400" w:after="0" w:line="240" w:lineRule="auto"/>
        <w:rPr>
          <w:rFonts w:ascii="Times New Roman" w:hAnsi="Times New Roman" w:cs="Times New Roman"/>
          <w:color w:val="1F1F1F"/>
          <w:sz w:val="20"/>
          <w:szCs w:val="20"/>
        </w:rPr>
      </w:pPr>
      <w:bookmarkStart w:id="24" w:name="co_pp_sp_780_110_1"/>
      <w:bookmarkEnd w:id="24"/>
      <w:r>
        <w:rPr>
          <w:rFonts w:ascii="Times New Roman" w:hAnsi="Times New Roman" w:cs="Times New Roman"/>
          <w:color w:val="1F1F1F"/>
          <w:sz w:val="20"/>
          <w:szCs w:val="20"/>
        </w:rPr>
        <w:lastRenderedPageBreak/>
        <w:t xml:space="preserve">HARLAN, J., </w:t>
      </w:r>
      <w:r>
        <w:rPr>
          <w:rFonts w:ascii="Times New Roman" w:hAnsi="Times New Roman" w:cs="Times New Roman"/>
          <w:i/>
          <w:iCs/>
          <w:color w:val="1F1F1F"/>
          <w:sz w:val="20"/>
          <w:szCs w:val="20"/>
        </w:rPr>
        <w:t>dissenting</w:t>
      </w:r>
      <w:r>
        <w:rPr>
          <w:rFonts w:ascii="Times New Roman" w:hAnsi="Times New Roman" w:cs="Times New Roman"/>
          <w:color w:val="1F1F1F"/>
          <w:sz w:val="20"/>
          <w:szCs w:val="20"/>
        </w:rPr>
        <w:t>.</w:t>
      </w:r>
    </w:p>
    <w:p w14:paraId="727DEA10"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bookmarkStart w:id="25" w:name="co_anchor_I8993f977405b11dca51ecfdfa1ed2"/>
      <w:bookmarkEnd w:id="25"/>
    </w:p>
    <w:p w14:paraId="63896F35"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Mr. Justice WOODS and myself feel constrained to express our dissent from the interpretation which our brethren give to that clause of the fourteenth amendment which provides that ‘all persons born or naturalized in the United States, and subject to the jurisdiction thereof, are citizens of the United States and of the state wherein they reside.’ The case, as presented by the record, is this: John Elk, the plaintiff in error, is a person of the Indian race. He was born within the territorial limits of the United States. His parents were, at the time of his birth, members of one</w:t>
      </w:r>
      <w:bookmarkStart w:id="26" w:name="co_pp_sp_708_50_1"/>
      <w:bookmarkEnd w:id="26"/>
      <w:r>
        <w:rPr>
          <w:rFonts w:ascii="Times New Roman" w:hAnsi="Times New Roman" w:cs="Times New Roman"/>
          <w:color w:val="1F1F1F"/>
          <w:sz w:val="20"/>
          <w:szCs w:val="20"/>
        </w:rPr>
        <w:t xml:space="preserve"> of the Indian tribes in this country. More than a year, however, prior to his application to be registered as a voter in the city of Omaha, he had severed all relations with his tribe, and, as he alleges, fully and completely surrendered himself to the jurisdiction of the United States. Such surrender was, of course, involved in his act of becoming, as the demurrer to the petition admits that he did become, a </w:t>
      </w:r>
      <w:r>
        <w:rPr>
          <w:rFonts w:ascii="Times New Roman" w:hAnsi="Times New Roman" w:cs="Times New Roman"/>
          <w:i/>
          <w:iCs/>
          <w:color w:val="1F1F1F"/>
          <w:sz w:val="20"/>
          <w:szCs w:val="20"/>
        </w:rPr>
        <w:t>bona fide</w:t>
      </w:r>
      <w:r>
        <w:rPr>
          <w:rFonts w:ascii="Times New Roman" w:hAnsi="Times New Roman" w:cs="Times New Roman"/>
          <w:color w:val="1F1F1F"/>
          <w:sz w:val="20"/>
          <w:szCs w:val="20"/>
        </w:rPr>
        <w:t xml:space="preserve"> resident of the state of Nebraska. When he applied in 1880 to be registered as a voter, he possessed, as is also admitted, the qualifications of age and residence in state, county, and ward, required for electors by the constitution and laws of that state. It is likewise conceded that he was entitled to be so registered if, at the time of his application, he was a citizen of the United States; for, by the constitution and laws of Nebraska, every citizen of the United States, having the necessary qualifications of age and residence in state, county, and ward, is entitled to vote. Whether he was such citizen is the question presented by this writ of error.</w:t>
      </w:r>
    </w:p>
    <w:p w14:paraId="2A7C26C9"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77E8C163"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It is said that the petition contains no averment that Elk was taxed in the state in which he resides, or had ever been treated by her as a citizen. It is evident that the court would not have held him to be a citizen of the United States, even if the petition had contained a direct averment that he was taxed; because its judgment, in legal effect, is that, although born within the territorial limits of the United States, he could not, if at his birth a member of an Indian tribe, acquire national citizenship</w:t>
      </w:r>
      <w:bookmarkStart w:id="27" w:name="co_pp_sp_780_111_1"/>
      <w:bookmarkEnd w:id="27"/>
      <w:r>
        <w:rPr>
          <w:rFonts w:ascii="Times New Roman" w:hAnsi="Times New Roman" w:cs="Times New Roman"/>
          <w:color w:val="1F1F1F"/>
          <w:sz w:val="20"/>
          <w:szCs w:val="20"/>
        </w:rPr>
        <w:t xml:space="preserve"> by force of the fourteenth amendment, but only in pursuance of some statute or treaty providing for his naturalization. It would, therefore, seem unnecessary to inquire whether he was taxed at the time of his application to be registered as a voter; for, if the words ‘all persons born * * * in the United States and subject to the jurisdiction thereof’ were not intended to embrace Indians born in tribal relations, but who subsequently became </w:t>
      </w:r>
      <w:r>
        <w:rPr>
          <w:rFonts w:ascii="Times New Roman" w:hAnsi="Times New Roman" w:cs="Times New Roman"/>
          <w:i/>
          <w:iCs/>
          <w:color w:val="1F1F1F"/>
          <w:sz w:val="20"/>
          <w:szCs w:val="20"/>
        </w:rPr>
        <w:t>bona fide</w:t>
      </w:r>
      <w:r>
        <w:rPr>
          <w:rFonts w:ascii="Times New Roman" w:hAnsi="Times New Roman" w:cs="Times New Roman"/>
          <w:color w:val="1F1F1F"/>
          <w:sz w:val="20"/>
          <w:szCs w:val="20"/>
        </w:rPr>
        <w:t xml:space="preserve"> residents of the several states, then, manifestly, the legal </w:t>
      </w:r>
      <w:r>
        <w:rPr>
          <w:rFonts w:ascii="Times New Roman" w:hAnsi="Times New Roman" w:cs="Times New Roman"/>
          <w:i/>
          <w:iCs/>
          <w:color w:val="1F1F1F"/>
          <w:sz w:val="20"/>
          <w:szCs w:val="20"/>
        </w:rPr>
        <w:t>status</w:t>
      </w:r>
      <w:r>
        <w:rPr>
          <w:rFonts w:ascii="Times New Roman" w:hAnsi="Times New Roman" w:cs="Times New Roman"/>
          <w:color w:val="1F1F1F"/>
          <w:sz w:val="20"/>
          <w:szCs w:val="20"/>
        </w:rPr>
        <w:t xml:space="preserve"> of such Indians is not altered by the fact that they are taxed in those states. While denying that national citizenship, as conferred by that amendment, necessarily depends upon the inquiry whether the person claiming it is taxed in the state of his residence, or has property therein from which taxes may be derived, we submit that the petition does sufficiently show that the plaintiff was taxed, that is, belongs to the class which, by the laws of Nebraska, are subject to taxation. By the constitution and laws of Nebraska all real and personal property, in that state, are subject to assessment and taxation. Every person of full age and sound mind, being a resident thereof, is required to list his personal property for taxation. Const. Neb. art. 9, § 1; Comp. St. Neb.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77, pp. 400, 401. Of these provisions upon the subject of taxation this court will take judicial notice. Good pleading did not require that they should be set forth, at large, in the petition. Consequently, an averment that the plaintiff is a citizen and </w:t>
      </w:r>
      <w:r>
        <w:rPr>
          <w:rFonts w:ascii="Times New Roman" w:hAnsi="Times New Roman" w:cs="Times New Roman"/>
          <w:i/>
          <w:iCs/>
          <w:color w:val="1F1F1F"/>
          <w:sz w:val="20"/>
          <w:szCs w:val="20"/>
        </w:rPr>
        <w:t>bona fide</w:t>
      </w:r>
      <w:r>
        <w:rPr>
          <w:rFonts w:ascii="Times New Roman" w:hAnsi="Times New Roman" w:cs="Times New Roman"/>
          <w:color w:val="1F1F1F"/>
          <w:sz w:val="20"/>
          <w:szCs w:val="20"/>
        </w:rPr>
        <w:t xml:space="preserve"> resident of Nebraska implies, in law, that he is subject to taxation, and is taxed, in that state. Further: The plaintiff has become so far incorporated with the mass of the people of Nebraska that being, as the petition avers, a citizen and resident thereof, he constitutes a part of her militia. Comp. St. Neb.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56. He may, being no longer a member of an Indian tribe, sue and be sued in her courts. And he is counted in every apportionment of representation in the legislature; for the requirement of her constitution is that ‘the legislature shall apportion the senators and representatives according to the number of inhabitants, excluding Indians not taxed, and soldiers and officers of the United States army.’ Const. Neb. art. 3, § 1.</w:t>
      </w:r>
    </w:p>
    <w:p w14:paraId="374FE109"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0E78E9AB"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bookmarkStart w:id="28" w:name="co_pp_sp_780_112_1"/>
      <w:bookmarkEnd w:id="28"/>
      <w:r>
        <w:rPr>
          <w:rFonts w:ascii="Times New Roman" w:hAnsi="Times New Roman" w:cs="Times New Roman"/>
          <w:color w:val="1F1F1F"/>
          <w:sz w:val="20"/>
          <w:szCs w:val="20"/>
        </w:rPr>
        <w:t>At the adoption of the constitution there were, in many of the states, Indians, not members of any tribe, who constituted a part of the people for whose benefit the state governments were established. This is apparent from that clause of article 1, § 3, which requires, in the apportionment of representatives and direct taxes among the several states ‘according to their respective</w:t>
      </w:r>
      <w:bookmarkStart w:id="29" w:name="co_pp_sp_708_51_1"/>
      <w:bookmarkEnd w:id="29"/>
      <w:r>
        <w:rPr>
          <w:rFonts w:ascii="Times New Roman" w:hAnsi="Times New Roman" w:cs="Times New Roman"/>
          <w:color w:val="1F1F1F"/>
          <w:sz w:val="20"/>
          <w:szCs w:val="20"/>
        </w:rPr>
        <w:t xml:space="preserve"> numbers,’ the exclusion of ‘Indians not taxed.’ This implies that there were, at that time, in the United States, Indians who were taxed; that is, were subject to taxation by the laws of the state of which they were residents. Indians not taxed were those who held tribal relations, and therefore were not subject to the authority of any state, and were subject only to the authority of the United States, under the power conferred upon congress in reference to Indian tribes in this country. The same provision is retained in the fourteenth amendment; for, now, as at the adoption of the constitution, Indians in the several states, who are taxed by their laws, are counted in establishing the basis of representation in congress. By the act of April 9, 1866, entitled ‘An act to protect all persons in the United States in their civil rights, and furnish means for their vindication,’ (14 St. 27,) it is provided that ‘all persons born in the United States, and not subject to any foreign power, excluding Indians not taxed, are hereby declared to be citizens of the United States.’ This, so far as we are aware, is the first general </w:t>
      </w:r>
      <w:r>
        <w:rPr>
          <w:rFonts w:ascii="Times New Roman" w:hAnsi="Times New Roman" w:cs="Times New Roman"/>
          <w:color w:val="1F1F1F"/>
          <w:sz w:val="20"/>
          <w:szCs w:val="20"/>
        </w:rPr>
        <w:lastRenderedPageBreak/>
        <w:t xml:space="preserve">enactment making persons of the Indian race citizens of the United States. Numerous statutes and treaties previously provided for all the individual members of particular Indian tribes becoming, in certain contingencies, citizens of the United States. But the act of 1866 reached Indians not in tribal relations. Beyond question, by that act, national citizenship was conferred directly upon all persons in this country, of whatever race, (excluding only ‘Indians not taxed,’) who were born within the territorial limits of the United States, and were not subject to any foreign power. Surely </w:t>
      </w:r>
      <w:proofErr w:type="spellStart"/>
      <w:r>
        <w:rPr>
          <w:rFonts w:ascii="Times New Roman" w:hAnsi="Times New Roman" w:cs="Times New Roman"/>
          <w:color w:val="1F1F1F"/>
          <w:sz w:val="20"/>
          <w:szCs w:val="20"/>
        </w:rPr>
        <w:t>every one</w:t>
      </w:r>
      <w:proofErr w:type="spellEnd"/>
      <w:r>
        <w:rPr>
          <w:rFonts w:ascii="Times New Roman" w:hAnsi="Times New Roman" w:cs="Times New Roman"/>
          <w:color w:val="1F1F1F"/>
          <w:sz w:val="20"/>
          <w:szCs w:val="20"/>
        </w:rPr>
        <w:t xml:space="preserve"> must admit that an Indian residing in one of the states, and subject to taxation there, became, by force alone of the act of 1866, a citizen of the United States, although</w:t>
      </w:r>
      <w:bookmarkStart w:id="30" w:name="co_pp_sp_780_113_1"/>
      <w:bookmarkEnd w:id="30"/>
      <w:r>
        <w:rPr>
          <w:rFonts w:ascii="Times New Roman" w:hAnsi="Times New Roman" w:cs="Times New Roman"/>
          <w:color w:val="1F1F1F"/>
          <w:sz w:val="20"/>
          <w:szCs w:val="20"/>
        </w:rPr>
        <w:t xml:space="preserve"> he may have been, when born, a member of a tribe. The exclusion of Indians not taxed evinced a purpose to include </w:t>
      </w:r>
      <w:proofErr w:type="gramStart"/>
      <w:r>
        <w:rPr>
          <w:rFonts w:ascii="Times New Roman" w:hAnsi="Times New Roman" w:cs="Times New Roman"/>
          <w:color w:val="1F1F1F"/>
          <w:sz w:val="20"/>
          <w:szCs w:val="20"/>
        </w:rPr>
        <w:t>those subject</w:t>
      </w:r>
      <w:proofErr w:type="gramEnd"/>
      <w:r>
        <w:rPr>
          <w:rFonts w:ascii="Times New Roman" w:hAnsi="Times New Roman" w:cs="Times New Roman"/>
          <w:color w:val="1F1F1F"/>
          <w:sz w:val="20"/>
          <w:szCs w:val="20"/>
        </w:rPr>
        <w:t xml:space="preserve"> to taxation in the state of their residence. Language could not express that purpose with more distinctness than does the act of 1866. Any doubt upon the subject, in respect to persons of the Indian race residing in the United States or territories, and not members of a tribe, will be removed by an examination of the debates, in which many distinguished statesmen and lawyers participated in the senate of the United States when the act of 1866 was under consideration.</w:t>
      </w:r>
    </w:p>
    <w:p w14:paraId="4FA8FEF7"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214A2C43"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In the bill as originally reported from the judiciary committee there were no words excluding ‘Indians not taxed’ from the citizenship proposed to be granted. Attention being called to this fact, the friends of the measure disclaimed any purpose to make citizens of those who were in tribal relations, with governments of their own. In order to meet that objection, while conforming to the wishes of those desiring to invest with citizenship all Indians permanently separated from their tribes, and who, by reason of their residence away from their tribes, constituted a part of the people under the jurisdiction of the United States, Mr. Trumbull, who reported the bill, modified it by inserting the words ‘excluding Indians not taxed.’ What was intended by that modification appears from the following language used by him in debate: ‘Of course we cannot declare the wild Indians who do not recognize the government of the United States, who are not subject to our laws, with whom we make treaties, who have their own laws, who have their own regulations, whom we do not intend to interfere with or punish for the commission of crimes one upon the other, to be the subjects of the United States in the sense of being citizens. They must be excepted. The constitution of the United States excludes them from the enumeration of the population of the United States when it says that Indians not taxed are to be excluded. It has occurred to me that, perhaps, the amendment would meet the views of all gentlemen, which used these constitutional words, and said that all persons born in the United States, excluding</w:t>
      </w:r>
      <w:bookmarkStart w:id="31" w:name="co_pp_sp_780_114_1"/>
      <w:bookmarkEnd w:id="31"/>
      <w:r>
        <w:rPr>
          <w:rFonts w:ascii="Times New Roman" w:hAnsi="Times New Roman" w:cs="Times New Roman"/>
          <w:color w:val="1F1F1F"/>
          <w:sz w:val="20"/>
          <w:szCs w:val="20"/>
        </w:rPr>
        <w:t xml:space="preserve"> Indians not taxed, and not subject to any foreign power, shall be deemed citizens of the United States.’ Cong.</w:t>
      </w:r>
      <w:bookmarkStart w:id="32" w:name="co_pp_sp_708_52_1"/>
      <w:bookmarkEnd w:id="32"/>
      <w:r>
        <w:rPr>
          <w:rFonts w:ascii="Times New Roman" w:hAnsi="Times New Roman" w:cs="Times New Roman"/>
          <w:color w:val="1F1F1F"/>
          <w:sz w:val="20"/>
          <w:szCs w:val="20"/>
        </w:rPr>
        <w:t xml:space="preserve"> Globe, (1st Sess. 39th Congress,) p. 527. In replying to the objections urged by Mr. Hendricks to the bill even as amended, Mr. Trumbull said: ‘Does the senator from Indiana want the wild roaming Indians, not taxed, not subject to our authority, to be citizens of the United States-persons that are not to be counted, in our government? If he does not, let him not object to this amendment that brings in </w:t>
      </w:r>
      <w:r>
        <w:rPr>
          <w:rFonts w:ascii="Times New Roman" w:hAnsi="Times New Roman" w:cs="Times New Roman"/>
          <w:i/>
          <w:iCs/>
          <w:color w:val="1F1F1F"/>
          <w:sz w:val="20"/>
          <w:szCs w:val="20"/>
        </w:rPr>
        <w:t>even</w:t>
      </w:r>
      <w:r>
        <w:rPr>
          <w:rFonts w:ascii="Times New Roman" w:hAnsi="Times New Roman" w:cs="Times New Roman"/>
          <w:color w:val="1F1F1F"/>
          <w:sz w:val="20"/>
          <w:szCs w:val="20"/>
        </w:rPr>
        <w:t xml:space="preserve"> [only] </w:t>
      </w:r>
      <w:r>
        <w:rPr>
          <w:rFonts w:ascii="Times New Roman" w:hAnsi="Times New Roman" w:cs="Times New Roman"/>
          <w:i/>
          <w:iCs/>
          <w:color w:val="1F1F1F"/>
          <w:sz w:val="20"/>
          <w:szCs w:val="20"/>
        </w:rPr>
        <w:t>the Indian when he shall have cast off his wild habits, and submitted to the laws of organized society and become a citizen</w:t>
      </w:r>
      <w:r>
        <w:rPr>
          <w:rFonts w:ascii="Times New Roman" w:hAnsi="Times New Roman" w:cs="Times New Roman"/>
          <w:color w:val="1F1F1F"/>
          <w:sz w:val="20"/>
          <w:szCs w:val="20"/>
        </w:rPr>
        <w:t>.’ Id. 528.</w:t>
      </w:r>
    </w:p>
    <w:p w14:paraId="3590DAB6"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11233FD4"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The entire debate shows, with singular clearness, indeed, with absolute certainty, that no senator who participated in it, whether in favor of or in opposition to the measure, doubted that the bill as passed admitted, and was intended to admit, to national citizenship Indians who abandoned their tribal relations and became residents of one of the states or territories, within the full jurisdiction of the United States. It was so interpreted by President Johnson, who, in his veto message, said: ‘By the first section of the bill all persons born in the United States, and not subject to any foreign power, excluding Indians not taxed, are declared to be citizens of the United States. This provision comprehends the Chinese of the Pacific states, </w:t>
      </w:r>
      <w:r>
        <w:rPr>
          <w:rFonts w:ascii="Times New Roman" w:hAnsi="Times New Roman" w:cs="Times New Roman"/>
          <w:i/>
          <w:iCs/>
          <w:color w:val="1F1F1F"/>
          <w:sz w:val="20"/>
          <w:szCs w:val="20"/>
        </w:rPr>
        <w:t>Indians subject to taxation</w:t>
      </w:r>
      <w:r>
        <w:rPr>
          <w:rFonts w:ascii="Times New Roman" w:hAnsi="Times New Roman" w:cs="Times New Roman"/>
          <w:color w:val="1F1F1F"/>
          <w:sz w:val="20"/>
          <w:szCs w:val="20"/>
        </w:rPr>
        <w:t>, the people called gypsies, as well as the entire race designated as blacks, persons of color, negroes, mulattoes, and persons of African blood. Every individual of those races, born in the United States, is, by the bill, made a citizen of the United States.’</w:t>
      </w:r>
    </w:p>
    <w:p w14:paraId="105454FA"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0E4CADB3"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It would seem manifest, from this brief review of the history of the act of 1866, that one purpose of that legislation was to confer national citizenship upon a part of the Indian race in this country-such of them, at least, as resided in one of the states or territories, and were subject to taxation and other public burdens. And it is to be observed that, whoever was included within the terms of the grant contained in that act, became citizens of the United States without any record of </w:t>
      </w:r>
      <w:bookmarkStart w:id="33" w:name="co_pp_sp_780_115_1"/>
      <w:bookmarkEnd w:id="33"/>
      <w:r>
        <w:rPr>
          <w:rFonts w:ascii="Times New Roman" w:hAnsi="Times New Roman" w:cs="Times New Roman"/>
          <w:color w:val="1F1F1F"/>
          <w:sz w:val="20"/>
          <w:szCs w:val="20"/>
        </w:rPr>
        <w:t>their names being made. The citizenship conferred was made to depend wholly upon the existence of the facts which the statute declared to be a condition precedent to the grant taking effect. At the same session of the congress which passed the act of 1866, the fourteenth amendment was approved and submitted to the states for adoption. Those who sustained the former urged the adoption of the latter. An examination of the debates, pending the consideration of the amendment, will show that there was no purpose on the part of those who framed it, or of those who sustained it by their votes, to abandon the policy inaugurated by the act of 1866, of admitting to national citizenship such Indians as were separated from their tribes and were residents of one of the states or territories outside of any reservation set apart for the exclusive use and occupancy of Indian tribes.</w:t>
      </w:r>
    </w:p>
    <w:p w14:paraId="2EB06C51"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lastRenderedPageBreak/>
        <w:t> </w:t>
      </w:r>
    </w:p>
    <w:p w14:paraId="4138336C"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Prior to the adoption of the fourteenth amendment, numerous statutes were passed with reference to particular bodies of Indians, under which the individual members of such bodies, upon the dissolution of their tribal relations, or upon the division of their lands derived from the government, became, or were entitled to become, citizens of the United States by force alone of the statute, without observing the forms required by the naturalization laws in the case of a foreigner becoming a citizen of the United States. Such was the statute of March 3, 1839, (5 St. 349,) relating to the </w:t>
      </w:r>
      <w:proofErr w:type="spellStart"/>
      <w:r>
        <w:rPr>
          <w:rFonts w:ascii="Times New Roman" w:hAnsi="Times New Roman" w:cs="Times New Roman"/>
          <w:color w:val="1F1F1F"/>
          <w:sz w:val="20"/>
          <w:szCs w:val="20"/>
        </w:rPr>
        <w:t>Brothertown</w:t>
      </w:r>
      <w:proofErr w:type="spellEnd"/>
      <w:r>
        <w:rPr>
          <w:rFonts w:ascii="Times New Roman" w:hAnsi="Times New Roman" w:cs="Times New Roman"/>
          <w:color w:val="1F1F1F"/>
          <w:sz w:val="20"/>
          <w:szCs w:val="20"/>
        </w:rPr>
        <w:t xml:space="preserve"> Indians in the then territory of Wisconsin. Congress consented that the lands reserved for their use might be partitioned among the individuals composing the tribe. The act required the petition to be evidenced by a report and map to be filed with the secretary of the interior, by whom it should be transmitted to the president; whereupon the act proceeded: ‘The said </w:t>
      </w:r>
      <w:proofErr w:type="spellStart"/>
      <w:r>
        <w:rPr>
          <w:rFonts w:ascii="Times New Roman" w:hAnsi="Times New Roman" w:cs="Times New Roman"/>
          <w:color w:val="1F1F1F"/>
          <w:sz w:val="20"/>
          <w:szCs w:val="20"/>
        </w:rPr>
        <w:t>Brothertown</w:t>
      </w:r>
      <w:proofErr w:type="spellEnd"/>
      <w:r>
        <w:rPr>
          <w:rFonts w:ascii="Times New Roman" w:hAnsi="Times New Roman" w:cs="Times New Roman"/>
          <w:color w:val="1F1F1F"/>
          <w:sz w:val="20"/>
          <w:szCs w:val="20"/>
        </w:rPr>
        <w:t xml:space="preserve"> Indians, and each and every of them, shall then be deemed to be, and from that time forth are hereby declared to be, citizens of the United States to all intents and purposes, and shall be entitled to all the rights, privileges, and immunities of such citizens,’ etc. Similar legislation was enacted with</w:t>
      </w:r>
      <w:bookmarkStart w:id="34" w:name="co_pp_sp_780_116_1"/>
      <w:bookmarkEnd w:id="34"/>
      <w:r>
        <w:rPr>
          <w:rFonts w:ascii="Times New Roman" w:hAnsi="Times New Roman" w:cs="Times New Roman"/>
          <w:color w:val="1F1F1F"/>
          <w:sz w:val="20"/>
          <w:szCs w:val="20"/>
        </w:rPr>
        <w:t xml:space="preserve"> reference </w:t>
      </w:r>
      <w:bookmarkStart w:id="35" w:name="co_pp_sp_708_53_1"/>
      <w:bookmarkEnd w:id="35"/>
      <w:r>
        <w:rPr>
          <w:rFonts w:ascii="Times New Roman" w:hAnsi="Times New Roman" w:cs="Times New Roman"/>
          <w:color w:val="1F1F1F"/>
          <w:sz w:val="20"/>
          <w:szCs w:val="20"/>
        </w:rPr>
        <w:t xml:space="preserve">to the Stockbridge Indians. 5 St. 646, 647. Legislation of this character has an important bearing upon the present question, for it shows that prior to the adoption of the fourteenth amendment it had often been the policy of congress to admit persons of the Indian race to citizenship upon their ceasing to have tribal relations, and without the slightest reference to the fact that they were born in tribal relations. It shows, also, that the citizenship thus granted was not, in every instance, required to be evidenced by the record of a court. If it be said that the statutes prior to 1866, providing for the admission of Indians to citizenship, required in their execution that a record be made of the names of those who thus acquired citizenship, our answer is that it was entirely competent for congress to dispense, as it did in the act of 1866, with any such record being made in a court, or in any department of the government. And </w:t>
      </w:r>
      <w:proofErr w:type="gramStart"/>
      <w:r>
        <w:rPr>
          <w:rFonts w:ascii="Times New Roman" w:hAnsi="Times New Roman" w:cs="Times New Roman"/>
          <w:color w:val="1F1F1F"/>
          <w:sz w:val="20"/>
          <w:szCs w:val="20"/>
        </w:rPr>
        <w:t>certainly</w:t>
      </w:r>
      <w:proofErr w:type="gramEnd"/>
      <w:r>
        <w:rPr>
          <w:rFonts w:ascii="Times New Roman" w:hAnsi="Times New Roman" w:cs="Times New Roman"/>
          <w:color w:val="1F1F1F"/>
          <w:sz w:val="20"/>
          <w:szCs w:val="20"/>
        </w:rPr>
        <w:t xml:space="preserve"> it must be conceded that except in cases of persons ‘naturalized in the United States,’ (which phrase refers only to those who are embraced by the naturalization laws, and not to Indians,) the fourteenth amendment does not require the citizenship granted by it to be evidenced by the record of any court, or of any department of the government. Such citizenship passes to the person, of whatever race, who is embraced by its provisions, leaving the fact of citizenship to be determined, when it shall become necessary to do so in the course of legal inquiry, in the same way that questions as to one’s nativity, domicile, or residence are determined.</w:t>
      </w:r>
    </w:p>
    <w:p w14:paraId="24198177"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018873CC"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If it be also said that, since the adoption of the fourteenth amendment, congress has enacted statutes providing for the citizenship of Indians, our answer is that those statutes had reference to tribes, the members of which could not, while they continued in tribal relations, acquire the citizenship granted by the fourteenth amendment. Those statutes did not deal with individual Indians who had severed their tribal connections and were residents within the states of the Union, under the complete jurisdiction of the United States. There is nothing in the history of the adoption of the fourteenth amendment which, in our opinion, justifies the conclusion</w:t>
      </w:r>
      <w:bookmarkStart w:id="36" w:name="co_pp_sp_780_117_1"/>
      <w:bookmarkEnd w:id="36"/>
      <w:r>
        <w:rPr>
          <w:rFonts w:ascii="Times New Roman" w:hAnsi="Times New Roman" w:cs="Times New Roman"/>
          <w:color w:val="1F1F1F"/>
          <w:sz w:val="20"/>
          <w:szCs w:val="20"/>
        </w:rPr>
        <w:t xml:space="preserve"> that only those Indians are included in its grant of citizenship who were, at the time of their birth, subject to the complete jurisdiction of the United States. As already stated, according to the doctrines of the court, in this case,-if we do not wholly misapprehend the effect of its decision,-the plaintiff, if born while his parents were members of an Indian tribe, would not be embraced by the amendment even had he been, </w:t>
      </w:r>
      <w:r>
        <w:rPr>
          <w:rFonts w:ascii="Times New Roman" w:hAnsi="Times New Roman" w:cs="Times New Roman"/>
          <w:i/>
          <w:iCs/>
          <w:color w:val="1F1F1F"/>
          <w:sz w:val="20"/>
          <w:szCs w:val="20"/>
        </w:rPr>
        <w:t>at the time it was adopted</w:t>
      </w:r>
      <w:r>
        <w:rPr>
          <w:rFonts w:ascii="Times New Roman" w:hAnsi="Times New Roman" w:cs="Times New Roman"/>
          <w:color w:val="1F1F1F"/>
          <w:sz w:val="20"/>
          <w:szCs w:val="20"/>
        </w:rPr>
        <w:t>, a permanent resident of one of the states, subject to taxation, and, in fact, paying property and personal taxes, to the full extent required of the white race in the same state.</w:t>
      </w:r>
    </w:p>
    <w:p w14:paraId="6ACF0A1C"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23C3CC6F"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When the fourteenth amendment was pending in the senate of the United States, Mr. Doolittle moved to insert after the words ‘subject to the jurisdiction thereof,’ the words ‘excluding Indians not taxed.’ His avowed object in so amending the measure was to exclude, beyond all question, from the proposed grant of national citizenship, tribal Indians who-since they were, in a sense, subject to the jurisdiction of the United States-might be regarded as embraced in the grant. The proposition was opposed by Mr. Trumbull and other friends of the proposed constitutional amendment, upon the ground that the words ‘Indians not taxed’ might be misconstrued, and also because those words were unnecessary, in that the phrase ‘subject to the jurisdiction thereof’ embraced only those who were subject to the complete jurisdiction of the United States, which could not be properly said of Indians in tribal relations. But it was distinctly announced by the friends of the amendment that they intended to include in the grant of national citizenship Indians who were within the jurisdiction of the states, and subject to their laws, because such Indians would be completely under the jurisdiction of the United States. Said Mr. Trumbull: ‘It is only those who come completely within our jurisdiction, who are subject to our laws, that we think of making citizens; and </w:t>
      </w:r>
      <w:bookmarkStart w:id="37" w:name="co_pp_sp_708_54_1"/>
      <w:bookmarkEnd w:id="37"/>
      <w:r>
        <w:rPr>
          <w:rFonts w:ascii="Times New Roman" w:hAnsi="Times New Roman" w:cs="Times New Roman"/>
          <w:color w:val="1F1F1F"/>
          <w:sz w:val="20"/>
          <w:szCs w:val="20"/>
        </w:rPr>
        <w:t xml:space="preserve">there can be no objection to the proposition that such persons should be citizens.’ Cong. Globe, pt. 4, (1st Sess. 39th Cong.) pp. 2890-2893. Alluding to the phrase ‘Indians not taxed,’ he remarked that the language of the proposed constitutional amendment was </w:t>
      </w:r>
      <w:bookmarkStart w:id="38" w:name="co_pp_sp_780_118_1"/>
      <w:bookmarkEnd w:id="38"/>
      <w:r>
        <w:rPr>
          <w:rFonts w:ascii="Times New Roman" w:hAnsi="Times New Roman" w:cs="Times New Roman"/>
          <w:color w:val="1F1F1F"/>
          <w:sz w:val="20"/>
          <w:szCs w:val="20"/>
        </w:rPr>
        <w:t xml:space="preserve">better than that of the act of 1866 passed at the same session. He observed: ‘There is a difficulty about the words ‘Indians not taxed.’ Perhaps one of the reasons why I think so is because of the </w:t>
      </w:r>
      <w:r>
        <w:rPr>
          <w:rFonts w:ascii="Times New Roman" w:hAnsi="Times New Roman" w:cs="Times New Roman"/>
          <w:color w:val="1F1F1F"/>
          <w:sz w:val="20"/>
          <w:szCs w:val="20"/>
        </w:rPr>
        <w:lastRenderedPageBreak/>
        <w:t>persistency with which the senator from Indiana himself insisted that the phrase ‘Indians not taxed,’ the very words which the senator from Wisconsin wishes to insert here, would exclude everybody that did not pay a tax; that that was the meaning of it; we must take it literally. The senator from Maryland did not agree to that, nor did I; but, if the senator from Indiana was right, it would receive a construction which, I am sure, the senator from Wisconsin would not be for, for if these Indians come within our limits and within our jurisdiction and are civilized, he would just as soon make a citizen of a poor Indian as of the rich Indian.’ Id. 2894.</w:t>
      </w:r>
    </w:p>
    <w:p w14:paraId="298691DF"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2A96DFCB"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A careful examination of all that was said by senators and representatives, pending the consideration by congress of the fourteenth amendment, justifies us in saying that </w:t>
      </w:r>
      <w:proofErr w:type="spellStart"/>
      <w:r>
        <w:rPr>
          <w:rFonts w:ascii="Times New Roman" w:hAnsi="Times New Roman" w:cs="Times New Roman"/>
          <w:color w:val="1F1F1F"/>
          <w:sz w:val="20"/>
          <w:szCs w:val="20"/>
        </w:rPr>
        <w:t>every one</w:t>
      </w:r>
      <w:proofErr w:type="spellEnd"/>
      <w:r>
        <w:rPr>
          <w:rFonts w:ascii="Times New Roman" w:hAnsi="Times New Roman" w:cs="Times New Roman"/>
          <w:color w:val="1F1F1F"/>
          <w:sz w:val="20"/>
          <w:szCs w:val="20"/>
        </w:rPr>
        <w:t xml:space="preserve"> who participated in the debates, whether for or against the amendment, believed that, in the form in which it was approved by congress, it granted, and was intended to grant, national citizenship to every person of the Indian race in this country who was unconnected with any tribe, and who resided, in good faith, outside of Indian reservations and within one of the states or territories of the Union. This fact is, we think, entitled to great weight in determining the meaning and scope of the amendment. </w:t>
      </w:r>
      <w:hyperlink r:id="rId52" w:history="1">
        <w:r>
          <w:rPr>
            <w:rFonts w:ascii="Times New Roman" w:hAnsi="Times New Roman" w:cs="Times New Roman"/>
            <w:i/>
            <w:iCs/>
            <w:color w:val="006FC4"/>
            <w:sz w:val="20"/>
            <w:szCs w:val="20"/>
          </w:rPr>
          <w:t>Lithographic Co.</w:t>
        </w:r>
        <w:r>
          <w:rPr>
            <w:rFonts w:ascii="Times New Roman" w:hAnsi="Times New Roman" w:cs="Times New Roman"/>
            <w:color w:val="006FC4"/>
            <w:sz w:val="20"/>
            <w:szCs w:val="20"/>
          </w:rPr>
          <w:t xml:space="preserve"> v. </w:t>
        </w:r>
        <w:proofErr w:type="spellStart"/>
        <w:r>
          <w:rPr>
            <w:rFonts w:ascii="Times New Roman" w:hAnsi="Times New Roman" w:cs="Times New Roman"/>
            <w:i/>
            <w:iCs/>
            <w:color w:val="006FC4"/>
            <w:sz w:val="20"/>
            <w:szCs w:val="20"/>
          </w:rPr>
          <w:t>Sarony</w:t>
        </w:r>
        <w:proofErr w:type="spellEnd"/>
        <w:r>
          <w:rPr>
            <w:rFonts w:ascii="Times New Roman" w:hAnsi="Times New Roman" w:cs="Times New Roman"/>
            <w:color w:val="006FC4"/>
            <w:sz w:val="20"/>
            <w:szCs w:val="20"/>
          </w:rPr>
          <w:t>, 111 U. S. 57;</w:t>
        </w:r>
      </w:hyperlink>
      <w:r>
        <w:rPr>
          <w:rFonts w:ascii="Times New Roman" w:hAnsi="Times New Roman" w:cs="Times New Roman"/>
          <w:color w:val="1F1F1F"/>
          <w:sz w:val="20"/>
          <w:szCs w:val="20"/>
        </w:rPr>
        <w:t xml:space="preserve"> </w:t>
      </w:r>
      <w:hyperlink r:id="rId53" w:history="1">
        <w:r>
          <w:rPr>
            <w:rFonts w:ascii="Times New Roman" w:hAnsi="Times New Roman" w:cs="Times New Roman"/>
            <w:color w:val="006FC4"/>
            <w:sz w:val="20"/>
            <w:szCs w:val="20"/>
          </w:rPr>
          <w:t>S. C. 4 SUP. CT. REP. 279.</w:t>
        </w:r>
      </w:hyperlink>
      <w:r>
        <w:rPr>
          <w:rFonts w:ascii="Times New Roman" w:hAnsi="Times New Roman" w:cs="Times New Roman"/>
          <w:color w:val="1F1F1F"/>
          <w:sz w:val="20"/>
          <w:szCs w:val="20"/>
        </w:rPr>
        <w:t xml:space="preserve"> In this connection we refer to an elaborate report made by Mr. Carpenter, to the senate of the United States, in behalf of its judiciary committee, on the fourteenth of December, 1870. The report was made in obedience to an instruction to inquire as to the effect of the fourteenth amendment upon the treaties which the United States had with various Indian tribes of the country. The report says: ‘For these reasons your committee do not hesitate to say that the Indian tribes within the limits of the United States, and the individuals, members of such tribes, while they adhere to and form a part of the tribes to which they belong, are not, within the meaning of the</w:t>
      </w:r>
      <w:bookmarkStart w:id="39" w:name="co_pp_sp_780_119_1"/>
      <w:bookmarkEnd w:id="39"/>
      <w:r>
        <w:rPr>
          <w:rFonts w:ascii="Times New Roman" w:hAnsi="Times New Roman" w:cs="Times New Roman"/>
          <w:color w:val="1F1F1F"/>
          <w:sz w:val="20"/>
          <w:szCs w:val="20"/>
        </w:rPr>
        <w:t xml:space="preserve"> fourteenth amendment, ‘subject to the jurisdiction’ of the United States, and therefore that </w:t>
      </w:r>
      <w:r>
        <w:rPr>
          <w:rFonts w:ascii="Times New Roman" w:hAnsi="Times New Roman" w:cs="Times New Roman"/>
          <w:i/>
          <w:iCs/>
          <w:color w:val="1F1F1F"/>
          <w:sz w:val="20"/>
          <w:szCs w:val="20"/>
        </w:rPr>
        <w:t>such</w:t>
      </w:r>
      <w:r>
        <w:rPr>
          <w:rFonts w:ascii="Times New Roman" w:hAnsi="Times New Roman" w:cs="Times New Roman"/>
          <w:color w:val="1F1F1F"/>
          <w:sz w:val="20"/>
          <w:szCs w:val="20"/>
        </w:rPr>
        <w:t xml:space="preserve"> Indians have not become citizens of the United States by virtue of that amendment; and, if your committee are correct in this conclusion, it follows that the treaties heretofore made between the United States and the Indian tribes are not annulled by that amendment.’ The report closes with this significant language: ‘It is pertinent to say, in concluding this report, that treaty relations can properly exist with Indian tribes or nations only, and that, </w:t>
      </w:r>
      <w:r>
        <w:rPr>
          <w:rFonts w:ascii="Times New Roman" w:hAnsi="Times New Roman" w:cs="Times New Roman"/>
          <w:i/>
          <w:iCs/>
          <w:color w:val="1F1F1F"/>
          <w:sz w:val="20"/>
          <w:szCs w:val="20"/>
        </w:rPr>
        <w:t>when the members of any Indian tribe are scattered, they are merged in the mass of our people, and become equally subject to the jurisdiction of the United States</w:t>
      </w:r>
      <w:r>
        <w:rPr>
          <w:rFonts w:ascii="Times New Roman" w:hAnsi="Times New Roman" w:cs="Times New Roman"/>
          <w:color w:val="1F1F1F"/>
          <w:sz w:val="20"/>
          <w:szCs w:val="20"/>
        </w:rPr>
        <w:t>.’</w:t>
      </w:r>
    </w:p>
    <w:p w14:paraId="79144908"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1A42B364"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The question before us has been examined by a writer upon constitutional law whose views are entitled to great respect. Judge COOLEY, referring to the definition of national citizenship as contained in the fourteenth amendment, says: ‘By the express terms of the amendment, persons of foreign birth, who have never renounced the allegiance to which they were born, though they may have a residence in this country, more or less permanent, for business, instruction, or pleasure, are not citizens. Neither are the aboriginal inhabitants of the country citizens, so long as they preserve their tribal relations and recognize the headship of their chiefs, notwithstanding that, as against the action of our own people, they are under the protection of the laws, and may be said to owe a qualified allegiance to the government. When living within territory over which the laws, either state or territorial, are extended, they are protected by, and, at the same time, held amenable</w:t>
      </w:r>
      <w:bookmarkStart w:id="40" w:name="co_pp_sp_708_55_1"/>
      <w:bookmarkEnd w:id="40"/>
      <w:r>
        <w:rPr>
          <w:rFonts w:ascii="Times New Roman" w:hAnsi="Times New Roman" w:cs="Times New Roman"/>
          <w:color w:val="1F1F1F"/>
          <w:sz w:val="20"/>
          <w:szCs w:val="20"/>
        </w:rPr>
        <w:t xml:space="preserve"> to, those laws in all their intercourse with the body politic, and with the individuals composing it; but they are also, as a </w:t>
      </w:r>
      <w:proofErr w:type="spellStart"/>
      <w:proofErr w:type="gramStart"/>
      <w:r>
        <w:rPr>
          <w:rFonts w:ascii="Times New Roman" w:hAnsi="Times New Roman" w:cs="Times New Roman"/>
          <w:i/>
          <w:iCs/>
          <w:color w:val="1F1F1F"/>
          <w:sz w:val="20"/>
          <w:szCs w:val="20"/>
        </w:rPr>
        <w:t>quasi</w:t>
      </w:r>
      <w:r>
        <w:rPr>
          <w:rFonts w:ascii="Times New Roman" w:hAnsi="Times New Roman" w:cs="Times New Roman"/>
          <w:color w:val="1F1F1F"/>
          <w:sz w:val="20"/>
          <w:szCs w:val="20"/>
        </w:rPr>
        <w:t xml:space="preserve"> foreign</w:t>
      </w:r>
      <w:proofErr w:type="spellEnd"/>
      <w:proofErr w:type="gramEnd"/>
      <w:r>
        <w:rPr>
          <w:rFonts w:ascii="Times New Roman" w:hAnsi="Times New Roman" w:cs="Times New Roman"/>
          <w:color w:val="1F1F1F"/>
          <w:sz w:val="20"/>
          <w:szCs w:val="20"/>
        </w:rPr>
        <w:t xml:space="preserve"> people, regarded as being under the direction and tutelage of the general government, and subjected to peculiar regulations as dependent communities. They are ‘subject to the jurisdiction’ of the United States only in a </w:t>
      </w:r>
      <w:proofErr w:type="gramStart"/>
      <w:r>
        <w:rPr>
          <w:rFonts w:ascii="Times New Roman" w:hAnsi="Times New Roman" w:cs="Times New Roman"/>
          <w:color w:val="1F1F1F"/>
          <w:sz w:val="20"/>
          <w:szCs w:val="20"/>
        </w:rPr>
        <w:t>much qualified</w:t>
      </w:r>
      <w:proofErr w:type="gramEnd"/>
      <w:r>
        <w:rPr>
          <w:rFonts w:ascii="Times New Roman" w:hAnsi="Times New Roman" w:cs="Times New Roman"/>
          <w:color w:val="1F1F1F"/>
          <w:sz w:val="20"/>
          <w:szCs w:val="20"/>
        </w:rPr>
        <w:t xml:space="preserve"> sense; and it would be obviously inconsistent with the semi-independent character of such a tribe, and with the obedience they are expected to render to their tribal head, that they should be vested with the complete rights-or, on the other</w:t>
      </w:r>
      <w:bookmarkStart w:id="41" w:name="co_pp_sp_780_120_1"/>
      <w:bookmarkEnd w:id="41"/>
      <w:r>
        <w:rPr>
          <w:rFonts w:ascii="Times New Roman" w:hAnsi="Times New Roman" w:cs="Times New Roman"/>
          <w:color w:val="1F1F1F"/>
          <w:sz w:val="20"/>
          <w:szCs w:val="20"/>
        </w:rPr>
        <w:t xml:space="preserve"> hand, subjected to the full responsibilities-of American citizens. It would not for a moment be contended that such was the effect of this amendment. When, however, the tribal relations are dissolved, when the headship of the chief or the authority of the tribe is no longer recognized, and the individual Indian, turning his back upon his former mode of life, makes himself a member of the civilized community, the case is wholly altered. He then no longer acknowledges a divided allegiance; he joins himself to the body politic; he gives evidence of his purpose to adopt the habits and customs of civilized life; and, as his case is then within the terms of this amendment, it would seem that his right to protection, in person, property, and privilege, must be as complete as the allegiance to the government to which he must then be held; as complete, in short, as that of any other native-born inhabitant.’ 2 Story, Const. (Cooley’s Ed.) § 1933, p. 654. To the same effect are </w:t>
      </w:r>
      <w:r>
        <w:rPr>
          <w:rFonts w:ascii="Times New Roman" w:hAnsi="Times New Roman" w:cs="Times New Roman"/>
          <w:i/>
          <w:iCs/>
          <w:color w:val="1F1F1F"/>
          <w:sz w:val="20"/>
          <w:szCs w:val="20"/>
        </w:rPr>
        <w:t xml:space="preserve">Ex </w:t>
      </w:r>
      <w:proofErr w:type="spellStart"/>
      <w:r>
        <w:rPr>
          <w:rFonts w:ascii="Times New Roman" w:hAnsi="Times New Roman" w:cs="Times New Roman"/>
          <w:i/>
          <w:iCs/>
          <w:color w:val="1F1F1F"/>
          <w:sz w:val="20"/>
          <w:szCs w:val="20"/>
        </w:rPr>
        <w:t>parte</w:t>
      </w:r>
      <w:proofErr w:type="spellEnd"/>
      <w:r>
        <w:rPr>
          <w:rFonts w:ascii="Times New Roman" w:hAnsi="Times New Roman" w:cs="Times New Roman"/>
          <w:i/>
          <w:iCs/>
          <w:color w:val="1F1F1F"/>
          <w:sz w:val="20"/>
          <w:szCs w:val="20"/>
        </w:rPr>
        <w:t xml:space="preserve"> </w:t>
      </w:r>
      <w:hyperlink r:id="rId54" w:history="1">
        <w:r>
          <w:rPr>
            <w:rFonts w:ascii="Times New Roman" w:hAnsi="Times New Roman" w:cs="Times New Roman"/>
            <w:i/>
            <w:iCs/>
            <w:color w:val="006FC4"/>
            <w:sz w:val="20"/>
            <w:szCs w:val="20"/>
          </w:rPr>
          <w:t>Kenyon</w:t>
        </w:r>
        <w:r>
          <w:rPr>
            <w:rFonts w:ascii="Times New Roman" w:hAnsi="Times New Roman" w:cs="Times New Roman"/>
            <w:color w:val="006FC4"/>
            <w:sz w:val="20"/>
            <w:szCs w:val="20"/>
          </w:rPr>
          <w:t>, 5 Dill. 390;</w:t>
        </w:r>
      </w:hyperlink>
      <w:r>
        <w:rPr>
          <w:rFonts w:ascii="Times New Roman" w:hAnsi="Times New Roman" w:cs="Times New Roman"/>
          <w:color w:val="1F1F1F"/>
          <w:sz w:val="20"/>
          <w:szCs w:val="20"/>
        </w:rPr>
        <w:t xml:space="preserve"> </w:t>
      </w:r>
      <w:r>
        <w:rPr>
          <w:rFonts w:ascii="Times New Roman" w:hAnsi="Times New Roman" w:cs="Times New Roman"/>
          <w:i/>
          <w:iCs/>
          <w:color w:val="1F1F1F"/>
          <w:sz w:val="20"/>
          <w:szCs w:val="20"/>
        </w:rPr>
        <w:t xml:space="preserve">Ex </w:t>
      </w:r>
      <w:proofErr w:type="spellStart"/>
      <w:r>
        <w:rPr>
          <w:rFonts w:ascii="Times New Roman" w:hAnsi="Times New Roman" w:cs="Times New Roman"/>
          <w:i/>
          <w:iCs/>
          <w:color w:val="1F1F1F"/>
          <w:sz w:val="20"/>
          <w:szCs w:val="20"/>
        </w:rPr>
        <w:t>parte</w:t>
      </w:r>
      <w:proofErr w:type="spellEnd"/>
      <w:r>
        <w:rPr>
          <w:rFonts w:ascii="Times New Roman" w:hAnsi="Times New Roman" w:cs="Times New Roman"/>
          <w:i/>
          <w:iCs/>
          <w:color w:val="1F1F1F"/>
          <w:sz w:val="20"/>
          <w:szCs w:val="20"/>
        </w:rPr>
        <w:t xml:space="preserve"> Reynolds</w:t>
      </w:r>
      <w:r>
        <w:rPr>
          <w:rFonts w:ascii="Times New Roman" w:hAnsi="Times New Roman" w:cs="Times New Roman"/>
          <w:color w:val="1F1F1F"/>
          <w:sz w:val="20"/>
          <w:szCs w:val="20"/>
        </w:rPr>
        <w:t xml:space="preserve">, </w:t>
      </w:r>
      <w:hyperlink r:id="rId55" w:history="1">
        <w:r>
          <w:rPr>
            <w:rFonts w:ascii="Times New Roman" w:hAnsi="Times New Roman" w:cs="Times New Roman"/>
            <w:color w:val="006FC4"/>
            <w:sz w:val="20"/>
            <w:szCs w:val="20"/>
          </w:rPr>
          <w:t>Id. 397</w:t>
        </w:r>
      </w:hyperlink>
      <w:r>
        <w:rPr>
          <w:rFonts w:ascii="Times New Roman" w:hAnsi="Times New Roman" w:cs="Times New Roman"/>
          <w:color w:val="1F1F1F"/>
          <w:sz w:val="20"/>
          <w:szCs w:val="20"/>
        </w:rPr>
        <w:t xml:space="preserve">; </w:t>
      </w:r>
      <w:r>
        <w:rPr>
          <w:rFonts w:ascii="Times New Roman" w:hAnsi="Times New Roman" w:cs="Times New Roman"/>
          <w:i/>
          <w:iCs/>
          <w:color w:val="1F1F1F"/>
          <w:sz w:val="20"/>
          <w:szCs w:val="20"/>
        </w:rPr>
        <w:t>U. S.</w:t>
      </w:r>
      <w:r>
        <w:rPr>
          <w:rFonts w:ascii="Times New Roman" w:hAnsi="Times New Roman" w:cs="Times New Roman"/>
          <w:color w:val="1F1F1F"/>
          <w:sz w:val="20"/>
          <w:szCs w:val="20"/>
        </w:rPr>
        <w:t xml:space="preserve"> v. </w:t>
      </w:r>
      <w:r>
        <w:rPr>
          <w:rFonts w:ascii="Times New Roman" w:hAnsi="Times New Roman" w:cs="Times New Roman"/>
          <w:i/>
          <w:iCs/>
          <w:color w:val="1F1F1F"/>
          <w:sz w:val="20"/>
          <w:szCs w:val="20"/>
        </w:rPr>
        <w:t>Crook</w:t>
      </w:r>
      <w:r>
        <w:rPr>
          <w:rFonts w:ascii="Times New Roman" w:hAnsi="Times New Roman" w:cs="Times New Roman"/>
          <w:color w:val="1F1F1F"/>
          <w:sz w:val="20"/>
          <w:szCs w:val="20"/>
        </w:rPr>
        <w:t xml:space="preserve">, Id. 454; </w:t>
      </w:r>
      <w:hyperlink r:id="rId56" w:history="1">
        <w:r>
          <w:rPr>
            <w:rFonts w:ascii="Times New Roman" w:hAnsi="Times New Roman" w:cs="Times New Roman"/>
            <w:i/>
            <w:iCs/>
            <w:color w:val="006FC4"/>
            <w:sz w:val="20"/>
            <w:szCs w:val="20"/>
          </w:rPr>
          <w:t>U. S.</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Elm</w:t>
        </w:r>
        <w:r>
          <w:rPr>
            <w:rFonts w:ascii="Times New Roman" w:hAnsi="Times New Roman" w:cs="Times New Roman"/>
            <w:color w:val="006FC4"/>
            <w:sz w:val="20"/>
            <w:szCs w:val="20"/>
          </w:rPr>
          <w:t>, Dist. Ct. U. S., N. D. N. Y. 23 Int. Rev. Rec. 419</w:t>
        </w:r>
      </w:hyperlink>
      <w:r>
        <w:rPr>
          <w:rFonts w:ascii="Times New Roman" w:hAnsi="Times New Roman" w:cs="Times New Roman"/>
          <w:color w:val="1F1F1F"/>
          <w:sz w:val="20"/>
          <w:szCs w:val="20"/>
        </w:rPr>
        <w:t>.</w:t>
      </w:r>
    </w:p>
    <w:p w14:paraId="0BE8C3FF"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7BB3B7BE"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It seems to us that the fourteenth amendment, in so far as it was intended to confer national citizenship upon persons of the Indian race, is robbed of its vital force by a construction which excludes from such citizenship those who, although born in tribal relations, are within the complete jurisdiction of the United States. There were, in some of our states and territories at the time the amendment was submitted by congress, many Indians who had finally left </w:t>
      </w:r>
      <w:r>
        <w:rPr>
          <w:rFonts w:ascii="Times New Roman" w:hAnsi="Times New Roman" w:cs="Times New Roman"/>
          <w:color w:val="1F1F1F"/>
          <w:sz w:val="20"/>
          <w:szCs w:val="20"/>
        </w:rPr>
        <w:lastRenderedPageBreak/>
        <w:t>their tribes and come within the complete jurisdiction of the United States. They were as fully prepared for citizenship as were or are vast numbers of the white and colored races in the same localities. Is it conceivable that the statesmen who framed, the congress which submitted, and the people who adopted that amendment intended to confer citizenship, national and state, upon the entire population in this country of African descent, (the larger part of which was shortly before held in slavery,) and, by the same constitutional provision, to exclude from such citizenship Indians</w:t>
      </w:r>
      <w:bookmarkStart w:id="42" w:name="co_pp_sp_780_121_1"/>
      <w:bookmarkEnd w:id="42"/>
      <w:r>
        <w:rPr>
          <w:rFonts w:ascii="Times New Roman" w:hAnsi="Times New Roman" w:cs="Times New Roman"/>
          <w:color w:val="1F1F1F"/>
          <w:sz w:val="20"/>
          <w:szCs w:val="20"/>
        </w:rPr>
        <w:t xml:space="preserve"> who had never been in slavery, and who, by becoming </w:t>
      </w:r>
      <w:r>
        <w:rPr>
          <w:rFonts w:ascii="Times New Roman" w:hAnsi="Times New Roman" w:cs="Times New Roman"/>
          <w:i/>
          <w:iCs/>
          <w:color w:val="1F1F1F"/>
          <w:sz w:val="20"/>
          <w:szCs w:val="20"/>
        </w:rPr>
        <w:t>bona fide</w:t>
      </w:r>
      <w:r>
        <w:rPr>
          <w:rFonts w:ascii="Times New Roman" w:hAnsi="Times New Roman" w:cs="Times New Roman"/>
          <w:color w:val="1F1F1F"/>
          <w:sz w:val="20"/>
          <w:szCs w:val="20"/>
        </w:rPr>
        <w:t xml:space="preserve"> residents of states and territories within the complete jurisdiction of the United States, had evinced a purpose to abandon their former mode of life, and become a part of the people of the United States? If this question be answered in the negative, as we think it must be, then we are justified in withholding our assent to the doctrine which excludes the plaintiff from the body of citizens of the United States upon the ground that his parents were, when he was born, members of an Indian tribe; for, if he can be excluded upon any such ground, it must necessarily follow that the fourteenth amendment did not grant citizenship even to Indians who, although born in tribal relations, were, at its adoption, severed from their tribes, subject to the complete jurisdiction as well of the United States as of the state or territory in which they resided.</w:t>
      </w:r>
    </w:p>
    <w:p w14:paraId="389CF760"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78CAE162"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xml:space="preserve">Our brethren, it seems to us, construe the fourteenth amendment as if it read: ‘All persons born subject to the jurisdiction of, or naturalized in, the United States, are citizens of the United States and of the state in which they reside;’ whereas the amendment, as it is, implies in respect of persons born in this country that they may claim the rights of national citizenship from and after the moment they become subject to the complete jurisdiction of the United States. This would not include the children born in this country of a foreign minister, for the reason that, under the fiction of extraterritoriality as recognized </w:t>
      </w:r>
      <w:bookmarkStart w:id="43" w:name="co_pp_sp_708_56_1"/>
      <w:bookmarkEnd w:id="43"/>
      <w:r>
        <w:rPr>
          <w:rFonts w:ascii="Times New Roman" w:hAnsi="Times New Roman" w:cs="Times New Roman"/>
          <w:color w:val="1F1F1F"/>
          <w:sz w:val="20"/>
          <w:szCs w:val="20"/>
        </w:rPr>
        <w:t xml:space="preserve">by international law, such minister, ‘though actually in a foreign country, is considered still to remain within the territory of his own state,’ and, consequently, he continues ‘subject to the laws of his own country, both with respect to his personal </w:t>
      </w:r>
      <w:r>
        <w:rPr>
          <w:rFonts w:ascii="Times New Roman" w:hAnsi="Times New Roman" w:cs="Times New Roman"/>
          <w:i/>
          <w:iCs/>
          <w:color w:val="1F1F1F"/>
          <w:sz w:val="20"/>
          <w:szCs w:val="20"/>
        </w:rPr>
        <w:t>status</w:t>
      </w:r>
      <w:r>
        <w:rPr>
          <w:rFonts w:ascii="Times New Roman" w:hAnsi="Times New Roman" w:cs="Times New Roman"/>
          <w:color w:val="1F1F1F"/>
          <w:sz w:val="20"/>
          <w:szCs w:val="20"/>
        </w:rPr>
        <w:t xml:space="preserve"> and his rights of property; and his children, though born in a foreign country, are considered as natives.’ Halleck, Int. Law, </w:t>
      </w:r>
      <w:r>
        <w:rPr>
          <w:rFonts w:ascii="Times New Roman" w:hAnsi="Times New Roman" w:cs="Times New Roman"/>
          <w:i/>
          <w:iCs/>
          <w:color w:val="1F1F1F"/>
          <w:sz w:val="20"/>
          <w:szCs w:val="20"/>
        </w:rPr>
        <w:t>c.</w:t>
      </w:r>
      <w:r>
        <w:rPr>
          <w:rFonts w:ascii="Times New Roman" w:hAnsi="Times New Roman" w:cs="Times New Roman"/>
          <w:color w:val="1F1F1F"/>
          <w:sz w:val="20"/>
          <w:szCs w:val="20"/>
        </w:rPr>
        <w:t xml:space="preserve"> 10, § 12. Nor was plaintiff born without the jurisdiction of the United States in the same sense that the subject of a foreign state, born within the territory of that state, may be said to have been born without the jurisdiction of our government. For, according to the decision in </w:t>
      </w:r>
      <w:hyperlink r:id="rId57" w:history="1">
        <w:r>
          <w:rPr>
            <w:rFonts w:ascii="Times New Roman" w:hAnsi="Times New Roman" w:cs="Times New Roman"/>
            <w:i/>
            <w:iCs/>
            <w:color w:val="006FC4"/>
            <w:sz w:val="20"/>
            <w:szCs w:val="20"/>
          </w:rPr>
          <w:t>Cherokee</w:t>
        </w:r>
        <w:bookmarkStart w:id="44" w:name="co_pp_sp_780_122_1"/>
        <w:bookmarkEnd w:id="44"/>
        <w:r>
          <w:rPr>
            <w:rFonts w:ascii="Times New Roman" w:hAnsi="Times New Roman" w:cs="Times New Roman"/>
            <w:i/>
            <w:iCs/>
            <w:color w:val="006FC4"/>
            <w:sz w:val="20"/>
            <w:szCs w:val="20"/>
          </w:rPr>
          <w:t xml:space="preserve"> Nation</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Georgia</w:t>
        </w:r>
        <w:r>
          <w:rPr>
            <w:rFonts w:ascii="Times New Roman" w:hAnsi="Times New Roman" w:cs="Times New Roman"/>
            <w:color w:val="006FC4"/>
            <w:sz w:val="20"/>
            <w:szCs w:val="20"/>
          </w:rPr>
          <w:t>, 5 Pet. 17,</w:t>
        </w:r>
      </w:hyperlink>
      <w:r>
        <w:rPr>
          <w:rFonts w:ascii="Times New Roman" w:hAnsi="Times New Roman" w:cs="Times New Roman"/>
          <w:color w:val="1F1F1F"/>
          <w:sz w:val="20"/>
          <w:szCs w:val="20"/>
        </w:rPr>
        <w:t xml:space="preserve"> the tribe of which the parents of plaintiff were members was not ‘a foreign state, in the sense of the constitution,’ but a domestic dependent people, ‘in a state of pupilage,’ and ‘so completely under the sovereignty and dominion of the United States, that any attempt to acquire their lands, or to form a political connection with them, would be considered an invasion of our territory and an act of hostility.’ They occupied territory which the court, in that case, said composed ‘a part of the United States,’ the title to which this nation asserted independent of their will. ‘In all our intercourse with foreign nations,’ said Chief Justice MARSHALL in the same case, ‘in our commercial regulations, in any attempt at intercourse between Indians and foreign nations, they are considered as within the jurisdictional limits of the United States, subject to many of those restraints which are imposed upon our citizens. * * * They look to our government for protection; rely upon its kindness and its power; appeal to it for relief to their wants; and address the president as their great father.’ And, again, in </w:t>
      </w:r>
      <w:hyperlink r:id="rId58" w:history="1">
        <w:r>
          <w:rPr>
            <w:rFonts w:ascii="Times New Roman" w:hAnsi="Times New Roman" w:cs="Times New Roman"/>
            <w:i/>
            <w:iCs/>
            <w:color w:val="006FC4"/>
            <w:sz w:val="20"/>
            <w:szCs w:val="20"/>
          </w:rPr>
          <w:t>U. S.</w:t>
        </w:r>
        <w:r>
          <w:rPr>
            <w:rFonts w:ascii="Times New Roman" w:hAnsi="Times New Roman" w:cs="Times New Roman"/>
            <w:color w:val="006FC4"/>
            <w:sz w:val="20"/>
            <w:szCs w:val="20"/>
          </w:rPr>
          <w:t xml:space="preserve"> v. </w:t>
        </w:r>
        <w:r>
          <w:rPr>
            <w:rFonts w:ascii="Times New Roman" w:hAnsi="Times New Roman" w:cs="Times New Roman"/>
            <w:i/>
            <w:iCs/>
            <w:color w:val="006FC4"/>
            <w:sz w:val="20"/>
            <w:szCs w:val="20"/>
          </w:rPr>
          <w:t>Rogers</w:t>
        </w:r>
        <w:r>
          <w:rPr>
            <w:rFonts w:ascii="Times New Roman" w:hAnsi="Times New Roman" w:cs="Times New Roman"/>
            <w:color w:val="006FC4"/>
            <w:sz w:val="20"/>
            <w:szCs w:val="20"/>
          </w:rPr>
          <w:t>, 4 How. 572,</w:t>
        </w:r>
      </w:hyperlink>
      <w:r>
        <w:rPr>
          <w:rFonts w:ascii="Times New Roman" w:hAnsi="Times New Roman" w:cs="Times New Roman"/>
          <w:color w:val="1F1F1F"/>
          <w:sz w:val="20"/>
          <w:szCs w:val="20"/>
        </w:rPr>
        <w:t xml:space="preserve"> this court, speaking by Chief Justice TANEY, said that it was ‘too firmly and clearly established to admit of dispute that the Indian tribes, residing within the territorial limits of the United States, are subject to their authority.’ </w:t>
      </w:r>
      <w:hyperlink r:id="rId59" w:history="1">
        <w:r>
          <w:rPr>
            <w:rFonts w:ascii="Times New Roman" w:hAnsi="Times New Roman" w:cs="Times New Roman"/>
            <w:i/>
            <w:iCs/>
            <w:color w:val="006FC4"/>
            <w:sz w:val="20"/>
            <w:szCs w:val="20"/>
          </w:rPr>
          <w:t>The Cherokee Tobacco</w:t>
        </w:r>
        <w:r>
          <w:rPr>
            <w:rFonts w:ascii="Times New Roman" w:hAnsi="Times New Roman" w:cs="Times New Roman"/>
            <w:color w:val="006FC4"/>
            <w:sz w:val="20"/>
            <w:szCs w:val="20"/>
          </w:rPr>
          <w:t>, 11 Wall. 616.</w:t>
        </w:r>
      </w:hyperlink>
      <w:r>
        <w:rPr>
          <w:rFonts w:ascii="Times New Roman" w:hAnsi="Times New Roman" w:cs="Times New Roman"/>
          <w:color w:val="1F1F1F"/>
          <w:sz w:val="20"/>
          <w:szCs w:val="20"/>
        </w:rPr>
        <w:t xml:space="preserve"> Born, therefore, in the territory, under the dominion and within the jurisdictional limits of the United States, plaintiff has acquired, as was his undoubted right, a residence in one of the states, with her consent, and is subject to taxation and to all other burdens imposed by her upon residents of every race. If he did not acquire national citizenship on abandoning his tribe and becoming, by residence in one of the states, subject to the complete jurisdiction of the United States, then the fourteenth amendment has wholly failed to accomplish, in respect of the Indian race, what, we think, was intended by it; and there is still in this country a despised and rejected class of persons with no nationality whatever, who, born in our territory, owing no allegiance to any foreign power, and subject, as residents of the states, to all the burdens of government,</w:t>
      </w:r>
      <w:bookmarkStart w:id="45" w:name="co_pp_sp_780_123_1"/>
      <w:bookmarkEnd w:id="45"/>
      <w:r>
        <w:rPr>
          <w:rFonts w:ascii="Times New Roman" w:hAnsi="Times New Roman" w:cs="Times New Roman"/>
          <w:color w:val="1F1F1F"/>
          <w:sz w:val="20"/>
          <w:szCs w:val="20"/>
        </w:rPr>
        <w:t xml:space="preserve"> are yet not members of any political community, nor entitled to any of the rights, privileges, or immunities of citizens of the United States.</w:t>
      </w:r>
    </w:p>
    <w:p w14:paraId="1A355FB2" w14:textId="77777777" w:rsidR="009D79C8" w:rsidRDefault="009D79C8" w:rsidP="009D79C8">
      <w:pPr>
        <w:widowControl w:val="0"/>
        <w:autoSpaceDE w:val="0"/>
        <w:autoSpaceDN w:val="0"/>
        <w:adjustRightInd w:val="0"/>
        <w:spacing w:after="0" w:line="240" w:lineRule="auto"/>
        <w:rPr>
          <w:rFonts w:ascii="Times New Roman" w:hAnsi="Times New Roman" w:cs="Times New Roman"/>
          <w:color w:val="1F1F1F"/>
          <w:sz w:val="20"/>
          <w:szCs w:val="20"/>
        </w:rPr>
      </w:pPr>
      <w:r>
        <w:rPr>
          <w:rFonts w:ascii="Times New Roman" w:hAnsi="Times New Roman" w:cs="Times New Roman"/>
          <w:color w:val="1F1F1F"/>
          <w:sz w:val="20"/>
          <w:szCs w:val="20"/>
        </w:rPr>
        <w:t> </w:t>
      </w:r>
    </w:p>
    <w:p w14:paraId="0CA4E325" w14:textId="77777777" w:rsidR="009D79C8" w:rsidRDefault="009D79C8" w:rsidP="009D79C8">
      <w:pPr>
        <w:spacing w:line="240" w:lineRule="auto"/>
      </w:pPr>
      <w:r>
        <w:t>Questions:</w:t>
      </w:r>
    </w:p>
    <w:p w14:paraId="2CAAADC0" w14:textId="77777777" w:rsidR="009D79C8" w:rsidRDefault="009D79C8" w:rsidP="009D79C8">
      <w:pPr>
        <w:pStyle w:val="ListParagraph"/>
        <w:numPr>
          <w:ilvl w:val="0"/>
          <w:numId w:val="2"/>
        </w:numPr>
        <w:spacing w:line="240" w:lineRule="auto"/>
      </w:pPr>
      <w:r>
        <w:t>What do you think of the majority’s analysis?</w:t>
      </w:r>
    </w:p>
    <w:p w14:paraId="2AD87824" w14:textId="77777777" w:rsidR="009D79C8" w:rsidRDefault="009D79C8" w:rsidP="009D79C8">
      <w:pPr>
        <w:pStyle w:val="ListParagraph"/>
        <w:numPr>
          <w:ilvl w:val="0"/>
          <w:numId w:val="2"/>
        </w:numPr>
        <w:spacing w:line="240" w:lineRule="auto"/>
      </w:pPr>
      <w:r>
        <w:t>Is the dissent’s recounting of the legislative history of the Fourteenth Amendment convincing?</w:t>
      </w:r>
    </w:p>
    <w:p w14:paraId="13BFB194" w14:textId="77777777" w:rsidR="009D79C8" w:rsidRDefault="009D79C8"/>
    <w:p w14:paraId="3DFA284B" w14:textId="77777777" w:rsidR="009D79C8" w:rsidRDefault="009D79C8"/>
    <w:p w14:paraId="00000003" w14:textId="77777777" w:rsidR="00AC267B" w:rsidRDefault="00000000">
      <w:r>
        <w:t>On page 195 before the discussion on Good Moral Character, read this:</w:t>
      </w:r>
    </w:p>
    <w:p w14:paraId="00000004" w14:textId="77777777" w:rsidR="00AC267B" w:rsidRDefault="00000000">
      <w:pPr>
        <w:widowControl w:val="0"/>
        <w:pBdr>
          <w:top w:val="nil"/>
          <w:left w:val="nil"/>
          <w:bottom w:val="nil"/>
          <w:right w:val="nil"/>
          <w:between w:val="nil"/>
        </w:pBdr>
        <w:tabs>
          <w:tab w:val="right" w:pos="480"/>
        </w:tabs>
        <w:spacing w:after="0"/>
        <w:ind w:left="600" w:hanging="300"/>
        <w:jc w:val="both"/>
        <w:rPr>
          <w:rFonts w:ascii="Palatino" w:eastAsia="Palatino" w:hAnsi="Palatino" w:cs="Palatino"/>
          <w:color w:val="000000"/>
          <w:sz w:val="21"/>
          <w:szCs w:val="21"/>
        </w:rPr>
      </w:pPr>
      <w:r>
        <w:rPr>
          <w:rFonts w:ascii="Palatino" w:eastAsia="Palatino" w:hAnsi="Palatino" w:cs="Palatino"/>
          <w:color w:val="000000"/>
          <w:sz w:val="21"/>
          <w:szCs w:val="21"/>
        </w:rPr>
        <w:t>Ricardo Gonzalez Cedillo argue</w:t>
      </w:r>
      <w:r>
        <w:rPr>
          <w:rFonts w:ascii="Palatino" w:eastAsia="Palatino" w:hAnsi="Palatino" w:cs="Palatino"/>
          <w:sz w:val="21"/>
          <w:szCs w:val="21"/>
        </w:rPr>
        <w:t>s</w:t>
      </w:r>
      <w:r>
        <w:rPr>
          <w:rFonts w:ascii="Palatino" w:eastAsia="Palatino" w:hAnsi="Palatino" w:cs="Palatino"/>
          <w:color w:val="000000"/>
          <w:sz w:val="21"/>
          <w:szCs w:val="21"/>
        </w:rPr>
        <w:t xml:space="preserve"> that the English literacy requirement is unconstitutional.</w:t>
      </w:r>
    </w:p>
    <w:p w14:paraId="00000005" w14:textId="77777777" w:rsidR="00AC267B" w:rsidRDefault="00000000">
      <w:pPr>
        <w:widowControl w:val="0"/>
        <w:pBdr>
          <w:top w:val="single" w:sz="4" w:space="28" w:color="A73439"/>
          <w:left w:val="nil"/>
          <w:bottom w:val="nil"/>
          <w:right w:val="nil"/>
          <w:between w:val="nil"/>
        </w:pBdr>
        <w:tabs>
          <w:tab w:val="left" w:pos="300"/>
        </w:tabs>
        <w:spacing w:before="480" w:after="0"/>
        <w:jc w:val="center"/>
        <w:rPr>
          <w:rFonts w:ascii="Palatino" w:eastAsia="Palatino" w:hAnsi="Palatino" w:cs="Palatino"/>
          <w:i/>
          <w:iCs/>
          <w:color w:val="000000"/>
          <w:sz w:val="25"/>
          <w:szCs w:val="25"/>
        </w:rPr>
      </w:pPr>
      <w:r>
        <w:rPr>
          <w:rFonts w:ascii="Palatino" w:eastAsia="Palatino" w:hAnsi="Palatino" w:cs="Palatino"/>
          <w:i/>
          <w:iCs/>
          <w:color w:val="000000"/>
          <w:sz w:val="25"/>
          <w:szCs w:val="25"/>
        </w:rPr>
        <w:t xml:space="preserve">Ricardo Gonzalez Cedillo, A Constitutional Analysis of the </w:t>
      </w:r>
      <w:r>
        <w:rPr>
          <w:rFonts w:ascii="Palatino" w:eastAsia="Palatino" w:hAnsi="Palatino" w:cs="Palatino"/>
          <w:i/>
          <w:iCs/>
          <w:color w:val="000000"/>
          <w:sz w:val="25"/>
          <w:szCs w:val="25"/>
        </w:rPr>
        <w:br/>
        <w:t>English Literacy Requirement of the Naturalization Act</w:t>
      </w:r>
    </w:p>
    <w:p w14:paraId="00000006" w14:textId="77777777" w:rsidR="00AC267B" w:rsidRDefault="00000000">
      <w:pPr>
        <w:widowControl w:val="0"/>
        <w:pBdr>
          <w:top w:val="nil"/>
          <w:left w:val="nil"/>
          <w:bottom w:val="nil"/>
          <w:right w:val="nil"/>
          <w:between w:val="nil"/>
        </w:pBdr>
        <w:tabs>
          <w:tab w:val="left" w:pos="300"/>
        </w:tabs>
        <w:spacing w:after="180"/>
        <w:jc w:val="center"/>
        <w:rPr>
          <w:rFonts w:ascii="Open Sans" w:eastAsia="Open Sans" w:hAnsi="Open Sans" w:cs="Open Sans"/>
          <w:color w:val="000000"/>
          <w:sz w:val="19"/>
          <w:szCs w:val="19"/>
        </w:rPr>
      </w:pPr>
      <w:r>
        <w:rPr>
          <w:rFonts w:ascii="Open Sans" w:eastAsia="Open Sans" w:hAnsi="Open Sans" w:cs="Open Sans"/>
          <w:color w:val="000000"/>
          <w:sz w:val="19"/>
          <w:szCs w:val="19"/>
        </w:rPr>
        <w:t>14 St. Mary’s L.J. 822 (1983)</w:t>
      </w:r>
    </w:p>
    <w:p w14:paraId="00000007"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 . .</w:t>
      </w:r>
    </w:p>
    <w:p w14:paraId="00000008"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No claim is made that the English literacy provision operates as an unconstitutional condition within the framework of the existing legal commentary; rather, the claim is made that the English literacy provision should be the subject of a constitutional challenge because of the effect it has on protected minority group citizens. While the previously discussed unconstitutional condition analysis is grounded on the impact felt by the resident alien petitioning for naturalization, this analysis focuses on the impact felt by specific ethnic groups that are permanent members of the population, made up of both aliens and citizens. Although the naturalization statute only directly affects the resident alien members of any given ethnic group, it has a significant stigmatizing impact on the citizen members of that ethnic group. The theory presented relies on congressional history evidencing an intent to discriminate against specific ethnic groups and on the view that the literacy provision is having its intended impact on entire ethnic groups, constituting in large measure discrimination against ethnic group citizens on the basis of ethnicity. Thus, serious questions of the constitutionality of the provision arise — questions which have heretofore not been addressed. This analysis rests on the following set of assumptions.</w:t>
      </w:r>
    </w:p>
    <w:p w14:paraId="00000009" w14:textId="77777777" w:rsidR="00AC267B" w:rsidRDefault="00000000">
      <w:pPr>
        <w:widowControl w:val="0"/>
        <w:pBdr>
          <w:top w:val="nil"/>
          <w:left w:val="nil"/>
          <w:bottom w:val="nil"/>
          <w:right w:val="nil"/>
          <w:between w:val="nil"/>
        </w:pBdr>
        <w:tabs>
          <w:tab w:val="left" w:pos="300"/>
        </w:tabs>
        <w:spacing w:before="180" w:after="120"/>
        <w:jc w:val="center"/>
        <w:rPr>
          <w:rFonts w:ascii="Palatino" w:eastAsia="Palatino" w:hAnsi="Palatino" w:cs="Palatino"/>
          <w:b/>
          <w:bCs/>
          <w:color w:val="000000"/>
          <w:sz w:val="22"/>
          <w:szCs w:val="22"/>
        </w:rPr>
      </w:pPr>
      <w:r>
        <w:rPr>
          <w:rFonts w:ascii="Palatino" w:eastAsia="Palatino" w:hAnsi="Palatino" w:cs="Palatino"/>
          <w:b/>
          <w:bCs/>
          <w:color w:val="000000"/>
          <w:sz w:val="22"/>
          <w:szCs w:val="22"/>
        </w:rPr>
        <w:t>1. Assumptions Underlying the Theory</w:t>
      </w:r>
    </w:p>
    <w:p w14:paraId="0000000A" w14:textId="77777777" w:rsidR="00AC267B" w:rsidRDefault="00000000">
      <w:pPr>
        <w:widowControl w:val="0"/>
        <w:pBdr>
          <w:top w:val="nil"/>
          <w:left w:val="nil"/>
          <w:bottom w:val="nil"/>
          <w:right w:val="nil"/>
          <w:between w:val="nil"/>
        </w:pBdr>
        <w:tabs>
          <w:tab w:val="left" w:pos="300"/>
        </w:tabs>
        <w:spacing w:before="180" w:after="120"/>
        <w:jc w:val="center"/>
        <w:rPr>
          <w:rFonts w:ascii="Palatino" w:eastAsia="Palatino" w:hAnsi="Palatino" w:cs="Palatino"/>
          <w:color w:val="000000"/>
          <w:sz w:val="22"/>
          <w:szCs w:val="22"/>
        </w:rPr>
      </w:pPr>
      <w:r>
        <w:rPr>
          <w:rFonts w:ascii="Palatino" w:eastAsia="Palatino" w:hAnsi="Palatino" w:cs="Palatino"/>
          <w:color w:val="000000"/>
          <w:sz w:val="22"/>
          <w:szCs w:val="22"/>
        </w:rPr>
        <w:t xml:space="preserve">a. First — The English Literacy Requirement Has a </w:t>
      </w:r>
      <w:r>
        <w:rPr>
          <w:rFonts w:ascii="Palatino" w:eastAsia="Palatino" w:hAnsi="Palatino" w:cs="Palatino"/>
          <w:color w:val="000000"/>
          <w:sz w:val="22"/>
          <w:szCs w:val="22"/>
        </w:rPr>
        <w:br/>
        <w:t>Disproportionate Impact</w:t>
      </w:r>
    </w:p>
    <w:p w14:paraId="0000000B"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The requirement favors permanent resident aliens from national origins and ethnic groups that speak the English language. It is assumed than the immigrant from England or Scotland finds this requirement less burdensome than the immigrant from Eastern Europe, Japan, or Mexico. True enough, the requirement nonetheless applies to the Scot and Englishman, but the advantage of being able to speak the language is itself significant. This disproportionate impact feature is in line with what is argued here to be a stigmatizing intent and impact in the law. This view is developed further in subsequent discussion.</w:t>
      </w:r>
    </w:p>
    <w:p w14:paraId="0000000C" w14:textId="77777777" w:rsidR="00AC267B" w:rsidRDefault="00000000">
      <w:pPr>
        <w:widowControl w:val="0"/>
        <w:pBdr>
          <w:top w:val="nil"/>
          <w:left w:val="nil"/>
          <w:bottom w:val="nil"/>
          <w:right w:val="nil"/>
          <w:between w:val="nil"/>
        </w:pBdr>
        <w:tabs>
          <w:tab w:val="left" w:pos="300"/>
        </w:tabs>
        <w:spacing w:before="180" w:after="120"/>
        <w:jc w:val="center"/>
        <w:rPr>
          <w:rFonts w:ascii="Palatino" w:eastAsia="Palatino" w:hAnsi="Palatino" w:cs="Palatino"/>
          <w:color w:val="000000"/>
          <w:sz w:val="22"/>
          <w:szCs w:val="22"/>
        </w:rPr>
      </w:pPr>
      <w:r>
        <w:rPr>
          <w:rFonts w:ascii="Palatino" w:eastAsia="Palatino" w:hAnsi="Palatino" w:cs="Palatino"/>
          <w:color w:val="000000"/>
          <w:sz w:val="22"/>
          <w:szCs w:val="22"/>
        </w:rPr>
        <w:t>b. Second — The English Literacy Requirement Has a Stigmatizing Impact on Citizen Ethnic Groups</w:t>
      </w:r>
    </w:p>
    <w:p w14:paraId="0000000D"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lastRenderedPageBreak/>
        <w:t>. . .</w:t>
      </w:r>
    </w:p>
    <w:p w14:paraId="0000000E"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The assumption is that in enacting the English literacy requirement of the naturalization process, Congress intended to disadvantage persons of non-English speaking national origins or ethnic groups and that this fixes a “badge of opprobrium on citizens of the same ancestry.” For example, in the view of this writer an obstacle to citizenship that affects resident aliens of Mexican ancestry because of their mother tongue is necessarily a reflection on the value the government places on Chicano citizens with the identical mother tongue. The English literacy requirement is an embodiment of a governmental attitude that Chicano citizens, because Spanish is their primary language, are </w:t>
      </w:r>
      <w:proofErr w:type="gramStart"/>
      <w:r>
        <w:rPr>
          <w:rFonts w:ascii="Palatino" w:eastAsia="Palatino" w:hAnsi="Palatino" w:cs="Palatino"/>
          <w:color w:val="000000"/>
          <w:sz w:val="21"/>
          <w:szCs w:val="21"/>
        </w:rPr>
        <w:t>less</w:t>
      </w:r>
      <w:proofErr w:type="gramEnd"/>
      <w:r>
        <w:rPr>
          <w:rFonts w:ascii="Palatino" w:eastAsia="Palatino" w:hAnsi="Palatino" w:cs="Palatino"/>
          <w:color w:val="000000"/>
          <w:sz w:val="21"/>
          <w:szCs w:val="21"/>
        </w:rPr>
        <w:t xml:space="preserve"> worthy citizens than those whose native tongue is English. The intent and impact of this requirement must be documented and demonstrated, for it is facially neutral. Finally, given that this can be demonstrated, an argument must be made that no compelling interest exists to justify it.</w:t>
      </w:r>
    </w:p>
    <w:p w14:paraId="0000000F"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An implicit element in this second assumption bears emphasis. Unlike the requisites of a five-year residency, good moral character, and knowledge and acceptance of our form of government, the English literacy requirement is the only condition that takes account of an inherent cultural trait present in many citizens. The point is that with the exception of the literacy provision, the other requirements represent neutral, unobjectionable policies. The residency requirement is easily supportable, as is a national policy of having citizens of good moral character who understand and accept our form of government. But the literacy requirement must be defended as a pronouncement that citizens, in order to exercise political rights, should be literate in the English language. The merits of this pronouncement will be debated here by posing questions concerning the consistency of this view with others also expressed by Congress in more recent legislation.</w:t>
      </w:r>
    </w:p>
    <w:p w14:paraId="00000010" w14:textId="77777777" w:rsidR="00AC267B" w:rsidRDefault="00000000">
      <w:pPr>
        <w:widowControl w:val="0"/>
        <w:pBdr>
          <w:top w:val="nil"/>
          <w:left w:val="nil"/>
          <w:bottom w:val="nil"/>
          <w:right w:val="nil"/>
          <w:between w:val="nil"/>
        </w:pBdr>
        <w:tabs>
          <w:tab w:val="left" w:pos="300"/>
        </w:tabs>
        <w:spacing w:before="180" w:after="120"/>
        <w:jc w:val="center"/>
        <w:rPr>
          <w:rFonts w:ascii="Palatino" w:eastAsia="Palatino" w:hAnsi="Palatino" w:cs="Palatino"/>
          <w:color w:val="000000"/>
          <w:sz w:val="22"/>
          <w:szCs w:val="22"/>
        </w:rPr>
      </w:pPr>
      <w:r>
        <w:rPr>
          <w:rFonts w:ascii="Palatino" w:eastAsia="Palatino" w:hAnsi="Palatino" w:cs="Palatino"/>
          <w:color w:val="000000"/>
          <w:sz w:val="22"/>
          <w:szCs w:val="22"/>
        </w:rPr>
        <w:t>c. Third — The English Literacy Requirement Is an Obstacle Imposed in the Political Process on Groups That Have Traditionally Been the Subjects of Discriminatory Treatment</w:t>
      </w:r>
    </w:p>
    <w:p w14:paraId="00000011"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Because naturalization translates into the ability to exercise political rights, it must be viewed as an obstacle to the attainment of political strength by the citizen group members of the same ethnic group to which the alien belongs. This assumption makes more sense when given a definite context; accordingly, it is presented against the background of the ethnic group most familiar to the writer, the Chicano experience. For example, every resident alien of Mexican heritage who is prevented from being naturalized because of the literacy requirement is one less element in the political strength of the nation’s second largest minority citizen group. For this group, the English literacy requirement works very much like gerrymandering, which was held to be violative of the fifteenth amendment. . .where its purpose was to limit the voting power of a protected class. In </w:t>
      </w:r>
      <w:r>
        <w:rPr>
          <w:rFonts w:ascii="Palatino" w:eastAsia="Palatino" w:hAnsi="Palatino" w:cs="Palatino"/>
          <w:i/>
          <w:iCs/>
          <w:color w:val="000000"/>
          <w:sz w:val="21"/>
          <w:szCs w:val="21"/>
        </w:rPr>
        <w:t>Hernandez v. Texas</w:t>
      </w:r>
      <w:r>
        <w:rPr>
          <w:rFonts w:ascii="Palatino" w:eastAsia="Palatino" w:hAnsi="Palatino" w:cs="Palatino"/>
          <w:color w:val="000000"/>
          <w:sz w:val="21"/>
          <w:szCs w:val="21"/>
        </w:rPr>
        <w:t xml:space="preserve"> and </w:t>
      </w:r>
      <w:r>
        <w:rPr>
          <w:rFonts w:ascii="Palatino" w:eastAsia="Palatino" w:hAnsi="Palatino" w:cs="Palatino"/>
          <w:i/>
          <w:iCs/>
          <w:color w:val="000000"/>
          <w:sz w:val="21"/>
          <w:szCs w:val="21"/>
        </w:rPr>
        <w:t xml:space="preserve">White v. </w:t>
      </w:r>
      <w:proofErr w:type="spellStart"/>
      <w:r>
        <w:rPr>
          <w:rFonts w:ascii="Palatino" w:eastAsia="Palatino" w:hAnsi="Palatino" w:cs="Palatino"/>
          <w:i/>
          <w:iCs/>
          <w:color w:val="000000"/>
          <w:sz w:val="21"/>
          <w:szCs w:val="21"/>
        </w:rPr>
        <w:t>Regester</w:t>
      </w:r>
      <w:proofErr w:type="spellEnd"/>
      <w:r>
        <w:rPr>
          <w:rFonts w:ascii="Palatino" w:eastAsia="Palatino" w:hAnsi="Palatino" w:cs="Palatino"/>
          <w:color w:val="000000"/>
          <w:sz w:val="21"/>
          <w:szCs w:val="21"/>
        </w:rPr>
        <w:t xml:space="preserve"> the Supreme Court identified persons of Mexican ancestry as a discernible class for equal protection purposes, i.e., a protected class. Under a gerrymandering scheme directed against Chicanos, the political strength of persons of Mexican ancestry is diluted through geographic boundary manipulation. Under the naturalization statute, every person of Mexican ancestry in a reciprocal relationship with the Government may be prevented from becoming an element in the political strength of the group, thus weakening the voting strength of a protected class. The Court has made clear. . .that voting strength is a constitutionally protected interest which cannot be artificially altered by governmental action.</w:t>
      </w:r>
    </w:p>
    <w:p w14:paraId="00000012"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Obviously, the drawing of geographic lines is not the only method of limiting the political power </w:t>
      </w:r>
      <w:r>
        <w:rPr>
          <w:rFonts w:ascii="Palatino" w:eastAsia="Palatino" w:hAnsi="Palatino" w:cs="Palatino"/>
          <w:color w:val="000000"/>
          <w:sz w:val="21"/>
          <w:szCs w:val="21"/>
        </w:rPr>
        <w:lastRenderedPageBreak/>
        <w:t>of a protected group of voters. Resident aliens of Mexican ancestry live and work among citizen counterparts, equally affected by local, state, national, and private sector policies that affect the entire community. If the Mexican-American community is to respond adequately to such policies at the voting booth, practices which limit its voting strength should be strictly scrutinized under an equal protection analysis or tested against the spirit of the fifteenth amendment.</w:t>
      </w:r>
    </w:p>
    <w:p w14:paraId="00000013" w14:textId="77777777" w:rsidR="00AC267B" w:rsidRDefault="00000000">
      <w:pPr>
        <w:widowControl w:val="0"/>
        <w:pBdr>
          <w:top w:val="nil"/>
          <w:left w:val="nil"/>
          <w:bottom w:val="nil"/>
          <w:right w:val="nil"/>
          <w:between w:val="nil"/>
        </w:pBdr>
        <w:tabs>
          <w:tab w:val="left" w:pos="300"/>
        </w:tabs>
        <w:spacing w:before="180" w:after="120"/>
        <w:jc w:val="center"/>
        <w:rPr>
          <w:rFonts w:ascii="Palatino" w:eastAsia="Palatino" w:hAnsi="Palatino" w:cs="Palatino"/>
          <w:color w:val="000000"/>
          <w:sz w:val="22"/>
          <w:szCs w:val="22"/>
        </w:rPr>
      </w:pPr>
      <w:r>
        <w:rPr>
          <w:rFonts w:ascii="Palatino" w:eastAsia="Palatino" w:hAnsi="Palatino" w:cs="Palatino"/>
          <w:color w:val="000000"/>
          <w:sz w:val="22"/>
          <w:szCs w:val="22"/>
        </w:rPr>
        <w:t>d. Fourth — The Role of Data in the Theory</w:t>
      </w:r>
    </w:p>
    <w:p w14:paraId="00000014"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A final assumption, and a crucial element in a case against the naturalization literacy requirement, involves data. Given that the challenge would be based on the discriminatory purpose of the legislation, data must be assembled to prove discriminatory impact. The stigmatizing impact need not be subjected to scientific proof since a court may find itself a competent judge of this argument. The impact on political participation, however, would require scientific proof.</w:t>
      </w:r>
    </w:p>
    <w:p w14:paraId="00000015"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This challenge can only be brought to rectify the harm imposed on a particular ethnic group, e.g., the Mexican-Americans. Information must be gathered in two areas: the number of Mexican resident aliens that have failed to pass the literacy requirement and the number of those who have failed to file a naturalization petition because of a belief that they could not meet the requirement. The latter, in the view of this writer, is the most crucial yet most difficult information to assemble.</w:t>
      </w:r>
    </w:p>
    <w:p w14:paraId="00000016"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 .In the case of the Mexican resident alien, the English literacy requirement is the only significant barrier to naturalization. In barrios throughout the Southwest, one finds families with resident alien parents and citizen children who fulfill all obligations to their government and participate fully in community affairs. The parents in many cases are not citizens because although they can, to one degree or another, speak and understand the English language, they cannot read or write it. These individuals consider the United States their only homeland and give it full allegiance. Their sons and daughters assume the citizenship roles they were born into, or, through childhood education in United States schools, were able to acquire in a naturalization process that did not pose the literacy obstacle that it does for their parents. This situation can be easily demonstrated in Southern California and South Texas through raw data and would provide support for the discriminatory impact argument which follows.</w:t>
      </w:r>
    </w:p>
    <w:p w14:paraId="00000017" w14:textId="77777777" w:rsidR="00AC267B" w:rsidRDefault="00000000">
      <w:pPr>
        <w:widowControl w:val="0"/>
        <w:pBdr>
          <w:top w:val="nil"/>
          <w:left w:val="nil"/>
          <w:bottom w:val="nil"/>
          <w:right w:val="nil"/>
          <w:between w:val="nil"/>
        </w:pBdr>
        <w:tabs>
          <w:tab w:val="left" w:pos="300"/>
        </w:tabs>
        <w:spacing w:before="180" w:after="120"/>
        <w:jc w:val="center"/>
        <w:rPr>
          <w:rFonts w:ascii="Palatino" w:eastAsia="Palatino" w:hAnsi="Palatino" w:cs="Palatino"/>
          <w:b/>
          <w:bCs/>
          <w:color w:val="000000"/>
          <w:sz w:val="22"/>
          <w:szCs w:val="22"/>
        </w:rPr>
      </w:pPr>
      <w:r>
        <w:rPr>
          <w:rFonts w:ascii="Palatino" w:eastAsia="Palatino" w:hAnsi="Palatino" w:cs="Palatino"/>
          <w:b/>
          <w:bCs/>
          <w:color w:val="000000"/>
          <w:sz w:val="22"/>
          <w:szCs w:val="22"/>
        </w:rPr>
        <w:t>2. The Theory Applied: Is the English Literacy Requirement Justified?</w:t>
      </w:r>
    </w:p>
    <w:p w14:paraId="00000018"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There is, of course, an argument that regardless of the disadvantages imposed by an English literacy requirement, it is founded on reasonable objectives and purposes. One justification may be that in an English-speaking nation, the naturalized citizen finds himself required to understand the English language. As a citizen, rights and privileges will be available that are denied to resident aliens; the assumption must be that there is a connection between full enjoyment of citizenship rights and literacy. It is, therefore, in the alien’s own interest that he be literate in the English language.</w:t>
      </w:r>
    </w:p>
    <w:p w14:paraId="00000019"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Secondly, the same reasons for viewing literacy as something in the alien’s own interest support the view that literacy also serves the general welfare — that is, it is better for the nation if naturalized citizens are literate. These two readily apparent views make charges of invidious discrimination appear ludicrous, for they are certainly reasonable and legitimate governmental interests.</w:t>
      </w:r>
    </w:p>
    <w:p w14:paraId="0000001A"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This author’s purpose is not to sound ludicrous but to question the reasonableness and soundness of these arguments and to explore other explanations of the literacy provision in the naturalization </w:t>
      </w:r>
      <w:r>
        <w:rPr>
          <w:rFonts w:ascii="Palatino" w:eastAsia="Palatino" w:hAnsi="Palatino" w:cs="Palatino"/>
          <w:color w:val="000000"/>
          <w:sz w:val="21"/>
          <w:szCs w:val="21"/>
        </w:rPr>
        <w:lastRenderedPageBreak/>
        <w:t>statute. Two themes are developed. First, that since Congress has seen fit to confer naturalization without regard to literacy in other categories and since the interests of the alien are largely immaterial in the naturalization process, the two justifications outlined above do not adequately explain this national policy. Second, the legislative history reveals that the motivation behind the provision and the benefits the Government sees itself receiving through such a policy are based on national origin/ethnic stereotypes whose current viability is open to serious question.</w:t>
      </w:r>
    </w:p>
    <w:p w14:paraId="0000001B" w14:textId="77777777" w:rsidR="00AC267B" w:rsidRDefault="00000000">
      <w:pPr>
        <w:widowControl w:val="0"/>
        <w:pBdr>
          <w:top w:val="nil"/>
          <w:left w:val="nil"/>
          <w:bottom w:val="nil"/>
          <w:right w:val="nil"/>
          <w:between w:val="nil"/>
        </w:pBdr>
        <w:tabs>
          <w:tab w:val="left" w:pos="300"/>
        </w:tabs>
        <w:spacing w:before="180" w:after="120"/>
        <w:jc w:val="center"/>
        <w:rPr>
          <w:rFonts w:ascii="Palatino" w:eastAsia="Palatino" w:hAnsi="Palatino" w:cs="Palatino"/>
          <w:color w:val="000000"/>
          <w:sz w:val="22"/>
          <w:szCs w:val="22"/>
        </w:rPr>
      </w:pPr>
      <w:r>
        <w:rPr>
          <w:rFonts w:ascii="Palatino" w:eastAsia="Palatino" w:hAnsi="Palatino" w:cs="Palatino"/>
          <w:color w:val="000000"/>
          <w:sz w:val="22"/>
          <w:szCs w:val="22"/>
        </w:rPr>
        <w:t>a. Justification: English Literacy for the Alien’s Own Good</w:t>
      </w:r>
    </w:p>
    <w:p w14:paraId="0000001C"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The question is not whether English literacy works as an advantage or disadvantage to the naturalized citizen. It is conceded that every citizen finds it advantageous to be as literate as possible. The question is whether the perceived advantages to the alien are adequate grounds to deny citizenship to those who are assumed to be unable to enjoy them because of an inability to speak English.</w:t>
      </w:r>
    </w:p>
    <w:p w14:paraId="0000001D"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Actions of Congress speak against granting the resident alien’s personal interest this level of importance. Naturalization under Category 4 (naturalization by treaty), Category 6 (naturalization by special act of Congress), and Category 7 (naturalization by admission of territory to Statehood) show that citizenship has been repeatedly conferred without regard to the English literacy of the naturalized. Moreover, naturalization under any category has always disregarded the interest of the alien. Speaking directly about the Category 1 process, courts have repeatedly pointed out that it is the interests of Government, not the alien, which are the sole considerations. Arguments that the English literacy requirement is justified because it promotes the interests of the naturalized citizen are therefore without firm basis: not only has Congress acted in a manner inconsistent with these arguments, but courts have stressed that the particular interests of the alien are immaterial. If the English literacy provision has a basis, it must lie in a general governmental or societal interest.</w:t>
      </w:r>
    </w:p>
    <w:p w14:paraId="0000001E" w14:textId="77777777" w:rsidR="00AC267B" w:rsidRDefault="00000000">
      <w:pPr>
        <w:widowControl w:val="0"/>
        <w:pBdr>
          <w:top w:val="nil"/>
          <w:left w:val="nil"/>
          <w:bottom w:val="nil"/>
          <w:right w:val="nil"/>
          <w:between w:val="nil"/>
        </w:pBdr>
        <w:tabs>
          <w:tab w:val="left" w:pos="300"/>
        </w:tabs>
        <w:spacing w:before="180" w:after="120"/>
        <w:jc w:val="center"/>
        <w:rPr>
          <w:rFonts w:ascii="Palatino" w:eastAsia="Palatino" w:hAnsi="Palatino" w:cs="Palatino"/>
          <w:color w:val="000000"/>
          <w:sz w:val="22"/>
          <w:szCs w:val="22"/>
        </w:rPr>
      </w:pPr>
      <w:r>
        <w:rPr>
          <w:rFonts w:ascii="Palatino" w:eastAsia="Palatino" w:hAnsi="Palatino" w:cs="Palatino"/>
          <w:color w:val="000000"/>
          <w:sz w:val="22"/>
          <w:szCs w:val="22"/>
        </w:rPr>
        <w:t>b. Justification: English Literacy as a Governmental Interest</w:t>
      </w:r>
    </w:p>
    <w:p w14:paraId="0000001F"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In </w:t>
      </w:r>
      <w:proofErr w:type="gramStart"/>
      <w:r>
        <w:rPr>
          <w:rFonts w:ascii="Palatino" w:eastAsia="Palatino" w:hAnsi="Palatino" w:cs="Palatino"/>
          <w:color w:val="000000"/>
          <w:sz w:val="21"/>
          <w:szCs w:val="21"/>
        </w:rPr>
        <w:t>general</w:t>
      </w:r>
      <w:proofErr w:type="gramEnd"/>
      <w:r>
        <w:rPr>
          <w:rFonts w:ascii="Palatino" w:eastAsia="Palatino" w:hAnsi="Palatino" w:cs="Palatino"/>
          <w:color w:val="000000"/>
          <w:sz w:val="21"/>
          <w:szCs w:val="21"/>
        </w:rPr>
        <w:t xml:space="preserve"> there is a governmental interest in having a universally literate citizenry; the Government may feel that the reciprocal relationship between it and the citizenry functions better if the citizens can speak, write, and read the English language. The legislative history of this naturalization provision reveals that Congress was in fact motivated by a notion that having English-literate naturalized aliens would be beneficial to the nation. But the circumstances surrounding the enactment of this requirement bring into serious question the current viability of the congressional thinking and the validity of the requirement.</w:t>
      </w:r>
    </w:p>
    <w:p w14:paraId="00000020"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The English literacy provision became part of the Category 1 naturalization process in 1950, as part of the Internal Security Act of that year. Prior to the 1950 amendment, the naturalization statute required only that the petitioner speak English. In urging passage of the legislation containing this revision of the Immigration and Nationality Act of 1940, the Senate Judiciary report offered the following reasons for the amendment:</w:t>
      </w:r>
    </w:p>
    <w:p w14:paraId="00000021" w14:textId="77777777" w:rsidR="00AC267B" w:rsidRDefault="00000000">
      <w:pPr>
        <w:widowControl w:val="0"/>
        <w:pBdr>
          <w:top w:val="nil"/>
          <w:left w:val="nil"/>
          <w:bottom w:val="nil"/>
          <w:right w:val="nil"/>
          <w:between w:val="nil"/>
        </w:pBdr>
        <w:tabs>
          <w:tab w:val="left" w:pos="600"/>
        </w:tabs>
        <w:spacing w:before="120" w:after="120"/>
        <w:ind w:left="300" w:right="300"/>
        <w:jc w:val="both"/>
        <w:rPr>
          <w:rFonts w:ascii="Palatino" w:eastAsia="Palatino" w:hAnsi="Palatino" w:cs="Palatino"/>
          <w:color w:val="000000"/>
          <w:sz w:val="19"/>
          <w:szCs w:val="19"/>
        </w:rPr>
      </w:pPr>
      <w:r>
        <w:rPr>
          <w:rFonts w:ascii="Palatino" w:eastAsia="Palatino" w:hAnsi="Palatino" w:cs="Palatino"/>
          <w:color w:val="000000"/>
          <w:sz w:val="19"/>
          <w:szCs w:val="19"/>
        </w:rPr>
        <w:t>The subcommittee has taken considerable testimony on the general problems relating to subversive activities in this country. That testimony is discussed and evaluated in great detail in another portion of this report, but the subcommittee feels that it is pertinent here to restate that this testimony conclusively shows that anti-American and subversive activities are more easily carried on among non-English-speaking groups of aliens than among those who are thoroughly conversant with our language.</w:t>
      </w:r>
    </w:p>
    <w:p w14:paraId="00000022" w14:textId="77777777" w:rsidR="00AC267B" w:rsidRDefault="00000000">
      <w:pPr>
        <w:widowControl w:val="0"/>
        <w:pBdr>
          <w:top w:val="nil"/>
          <w:left w:val="nil"/>
          <w:bottom w:val="nil"/>
          <w:right w:val="nil"/>
          <w:between w:val="nil"/>
        </w:pBdr>
        <w:tabs>
          <w:tab w:val="left" w:pos="600"/>
        </w:tabs>
        <w:spacing w:before="120" w:after="120"/>
        <w:ind w:left="300" w:right="300"/>
        <w:jc w:val="both"/>
        <w:rPr>
          <w:rFonts w:ascii="Palatino" w:eastAsia="Palatino" w:hAnsi="Palatino" w:cs="Palatino"/>
          <w:color w:val="000000"/>
          <w:sz w:val="19"/>
          <w:szCs w:val="19"/>
        </w:rPr>
      </w:pPr>
      <w:r>
        <w:rPr>
          <w:rFonts w:ascii="Palatino" w:eastAsia="Palatino" w:hAnsi="Palatino" w:cs="Palatino"/>
          <w:color w:val="000000"/>
          <w:sz w:val="19"/>
          <w:szCs w:val="19"/>
        </w:rPr>
        <w:lastRenderedPageBreak/>
        <w:t xml:space="preserve">. . .At the present time many of the courts are arbitrarily requiring that applicants appearing for citizenship shall be able to read simple English. They are taking this stand on the ground that where an alien has lived in the United States for a considerable number of years and has made no effort to read even simple English </w:t>
      </w:r>
      <w:proofErr w:type="gramStart"/>
      <w:r>
        <w:rPr>
          <w:rFonts w:ascii="Palatino" w:eastAsia="Palatino" w:hAnsi="Palatino" w:cs="Palatino"/>
          <w:color w:val="000000"/>
          <w:sz w:val="19"/>
          <w:szCs w:val="19"/>
        </w:rPr>
        <w:t>words</w:t>
      </w:r>
      <w:proofErr w:type="gramEnd"/>
      <w:r>
        <w:rPr>
          <w:rFonts w:ascii="Palatino" w:eastAsia="Palatino" w:hAnsi="Palatino" w:cs="Palatino"/>
          <w:color w:val="000000"/>
          <w:sz w:val="19"/>
          <w:szCs w:val="19"/>
        </w:rPr>
        <w:t xml:space="preserve"> he has failed to satisfy the requirement that he has been “attached” to the principles of the Constitution, and that he is “well disposed” to the good order and happiness of the United States. As a practical matter it is difficult for the subcommittee to understand how a person who has no knowledge of English can intelligently exercise the franchise, especially in states which use the initiative and referendum. It is also difficult to understand how a person who does not understand, or read, or write English can keep advised and informed on the political and social problems of the community in which he lives.</w:t>
      </w:r>
    </w:p>
    <w:p w14:paraId="00000023"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Thus, the governmental interests sought to be served by requiring aliens to be literate in the English language if they are to be naturalized are first, internal security and second, a better functioning reciprocal relationship between the naturalized citizen and his government.</w:t>
      </w:r>
    </w:p>
    <w:p w14:paraId="00000024"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The internal security argument lends direct support to the view that the government has embodied suspect criteria in the literacy requirement. This governmental purpose reflects the irrational fears and stereotypical thinking that reigned during the McCarthy era. The perceived Communist threat led this nation down a path which, in retrospect, all agree to have been unfortunate. Even assuming that there is in fact some correlation between subversive activity and the inability to speak, read, and write English, it is seriously doubted that the correlation is of such significance as to justify the literacy requirement. Moreover, it is highly unlikely that the Government would assert such a “conclusive” argument today, let alone attempt to prove it. Additionally, other naturalization requirements are better suited to prevent aliens who oppose our governmental system from becoming citizens, particularly the “attachment to constitutional principles” prerequisite. An alien who in fact is not “attached” but literate is better able to deceive a naturalization examiner: he can lie emphatically in the examiner’s language. However real the internal security interest may be, it is suggested that the literacy requirement does nothing to meet it. To believe that it does is to rely on degrading stereotypes based on thinking which is hopefully outdated, never again to gain widespread support.</w:t>
      </w:r>
    </w:p>
    <w:p w14:paraId="00000025"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The merits of the general welfare argument will not be disputed here, not because the writer embraces them, but because it is largely beside the point. It may be observed that life in the United States has undergone extensive technological changes since 1950, changes which support the view that the committee report’s findings in this area are equally dated. Specifically, the growth of the television industry has had profound impact on American politics, to the extent that it occupies the major role in informing and debating political issues and candidates. It must be pointed out that for Hispanics, the television industry can adequately inform them of political issues in their native tongue. In New York, Miami, San Antonio, Los Angeles, San Francisco, Houston, Chicago and other cities with Hispanic populations, local Spanish programming keeps viewers informed and up-to-date on community issues to the same extent as their English sister stations. Likewise, ballots are printed in Spanish in areas of large concentration of the Spanish-speaking population. Assuming that the printed media no longer dominates the </w:t>
      </w:r>
      <w:proofErr w:type="gramStart"/>
      <w:r>
        <w:rPr>
          <w:rFonts w:ascii="Palatino" w:eastAsia="Palatino" w:hAnsi="Palatino" w:cs="Palatino"/>
          <w:color w:val="000000"/>
          <w:sz w:val="21"/>
          <w:szCs w:val="21"/>
        </w:rPr>
        <w:t>discussions</w:t>
      </w:r>
      <w:proofErr w:type="gramEnd"/>
      <w:r>
        <w:rPr>
          <w:rFonts w:ascii="Palatino" w:eastAsia="Palatino" w:hAnsi="Palatino" w:cs="Palatino"/>
          <w:color w:val="000000"/>
          <w:sz w:val="21"/>
          <w:szCs w:val="21"/>
        </w:rPr>
        <w:t xml:space="preserve"> citizens must follow to exercise political rights intelligently, it is no longer viable to believe that those not literate in English will be ill-informed.</w:t>
      </w:r>
    </w:p>
    <w:p w14:paraId="00000026"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Even assuming that it is impossible for a person not literate in English to exercise the franchise intelligently or keep abreast of the political and social issues in a community, the question remains whether the manner in which Congress has seen fit to meet this general welfare interest is permissible. </w:t>
      </w:r>
      <w:r>
        <w:rPr>
          <w:rFonts w:ascii="Palatino" w:eastAsia="Palatino" w:hAnsi="Palatino" w:cs="Palatino"/>
          <w:color w:val="000000"/>
          <w:sz w:val="21"/>
          <w:szCs w:val="21"/>
        </w:rPr>
        <w:lastRenderedPageBreak/>
        <w:t>Apart from the stigmatizing attitude inherent in the provision, is the mechanism provided by Congress to enforce the provision and carry out its policy constitutionally adequate? The question can perhaps be answered by examining more recent actions in areas where English literacy examinations were linked to the exercise of political rights.</w:t>
      </w:r>
    </w:p>
    <w:p w14:paraId="00000027"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The Supreme Court has established that a state has wide discretion in setting voting qualifications, and that it may set literacy as a prerequisite to the exercise of the franchise. In </w:t>
      </w:r>
      <w:r>
        <w:rPr>
          <w:rFonts w:ascii="Palatino" w:eastAsia="Palatino" w:hAnsi="Palatino" w:cs="Palatino"/>
          <w:i/>
          <w:iCs/>
          <w:color w:val="000000"/>
          <w:sz w:val="21"/>
          <w:szCs w:val="21"/>
        </w:rPr>
        <w:t xml:space="preserve">Lassiter v. Northampton County Board of </w:t>
      </w:r>
      <w:proofErr w:type="gramStart"/>
      <w:r>
        <w:rPr>
          <w:rFonts w:ascii="Palatino" w:eastAsia="Palatino" w:hAnsi="Palatino" w:cs="Palatino"/>
          <w:i/>
          <w:iCs/>
          <w:color w:val="000000"/>
          <w:sz w:val="21"/>
          <w:szCs w:val="21"/>
        </w:rPr>
        <w:t>Elections</w:t>
      </w:r>
      <w:proofErr w:type="gramEnd"/>
      <w:r>
        <w:rPr>
          <w:rFonts w:ascii="Palatino" w:eastAsia="Palatino" w:hAnsi="Palatino" w:cs="Palatino"/>
          <w:color w:val="000000"/>
          <w:sz w:val="21"/>
          <w:szCs w:val="21"/>
        </w:rPr>
        <w:t xml:space="preserve"> a unanimous Court rejected a constitutional attack on a literacy requirement, holding that:</w:t>
      </w:r>
    </w:p>
    <w:p w14:paraId="00000028" w14:textId="77777777" w:rsidR="00AC267B" w:rsidRDefault="00000000">
      <w:pPr>
        <w:widowControl w:val="0"/>
        <w:pBdr>
          <w:top w:val="nil"/>
          <w:left w:val="nil"/>
          <w:bottom w:val="nil"/>
          <w:right w:val="nil"/>
          <w:between w:val="nil"/>
        </w:pBdr>
        <w:tabs>
          <w:tab w:val="left" w:pos="600"/>
        </w:tabs>
        <w:spacing w:before="120" w:after="120"/>
        <w:ind w:left="300" w:right="300"/>
        <w:jc w:val="both"/>
        <w:rPr>
          <w:rFonts w:ascii="Palatino" w:eastAsia="Palatino" w:hAnsi="Palatino" w:cs="Palatino"/>
          <w:color w:val="000000"/>
          <w:sz w:val="19"/>
          <w:szCs w:val="19"/>
        </w:rPr>
      </w:pPr>
      <w:r>
        <w:rPr>
          <w:rFonts w:ascii="Palatino" w:eastAsia="Palatino" w:hAnsi="Palatino" w:cs="Palatino"/>
          <w:color w:val="000000"/>
          <w:sz w:val="19"/>
          <w:szCs w:val="19"/>
        </w:rPr>
        <w:t>The ability to read and write likewise has some relation to standards designed to promote intelligent use of the ballot. Literacy and illiteracy are neutral on race, creed, color, and sex</w:t>
      </w:r>
      <w:proofErr w:type="gramStart"/>
      <w:r>
        <w:rPr>
          <w:rFonts w:ascii="Palatino" w:eastAsia="Palatino" w:hAnsi="Palatino" w:cs="Palatino"/>
          <w:color w:val="000000"/>
          <w:sz w:val="19"/>
          <w:szCs w:val="19"/>
        </w:rPr>
        <w:t>. . . .</w:t>
      </w:r>
      <w:proofErr w:type="gramEnd"/>
      <w:r>
        <w:rPr>
          <w:rFonts w:ascii="Palatino" w:eastAsia="Palatino" w:hAnsi="Palatino" w:cs="Palatino"/>
          <w:color w:val="000000"/>
          <w:sz w:val="19"/>
          <w:szCs w:val="19"/>
        </w:rPr>
        <w:t xml:space="preserve"> [I]n our society where newspapers, periodicals, books, and other printed matter canvass and debate campaign issues, a State might conclude that only those who are literate should exercise the franchise.</w:t>
      </w:r>
    </w:p>
    <w:p w14:paraId="00000029"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Clearly, the holding in </w:t>
      </w:r>
      <w:r>
        <w:rPr>
          <w:rFonts w:ascii="Palatino" w:eastAsia="Palatino" w:hAnsi="Palatino" w:cs="Palatino"/>
          <w:i/>
          <w:iCs/>
          <w:color w:val="000000"/>
          <w:sz w:val="21"/>
          <w:szCs w:val="21"/>
        </w:rPr>
        <w:t>Lassiter</w:t>
      </w:r>
      <w:r>
        <w:rPr>
          <w:rFonts w:ascii="Palatino" w:eastAsia="Palatino" w:hAnsi="Palatino" w:cs="Palatino"/>
          <w:color w:val="000000"/>
          <w:sz w:val="21"/>
          <w:szCs w:val="21"/>
        </w:rPr>
        <w:t xml:space="preserve"> would be applicable to a similar scheme followed by the national government. Literacy examinations per se are not unconstitutional, whether they are voting prerequisites of the states or prerequisites to the exercise of political rights imposed by the national government. But just as the Court was aware that literacy examinations hold great potential for abuse, Congress too has shown this awareness in dealing with state literacy requirements and has acted to minimize that potential. Congressional legislation requires that a state not employ any literacy test or device as a voting qualification unless “such test is administered to each individual and is conducted wholly in writing, and a certified copy of the test and of the answers given by the individual is furnished within twenty-five days” of the request. Further, the Voting Rights Act gives the Attorney General broad powers to institute actions to suspend a literacy test in any state whenever it is reasonably concluded (a detailed determination is not necessary) that it is operating to prevent the exercise of the right to vote. The affected state must then shoulder the burden of proving that no discrimination in fact exists. This can only be interpreted as a congressional attitude of disfavor toward literacy examinations that are linked to the exercise of political rights because of the inherent potential for abuse.</w:t>
      </w:r>
    </w:p>
    <w:p w14:paraId="0000002A"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These provisions indicate a more current congressional attitude than that which prevailed during the McCarthy era when the naturalization provision was enacted. Under this provision, the literacy test is “administered” to each alien, but it is not in writing. The practice appears to be that the literacy determination is part of the oral examination of knowledge of United States government to which the applicant is required to respond in English. The applicant may or may not be asked to read or write English words; this is left largely to the discretion of the naturalization examiner. An applicant who fails the literacy “examination” is very unlikely to appeal and faces little chance of success if he does. The dominant feature of the literacy determination is total, unchecked discretion vested in the examiner.</w:t>
      </w:r>
    </w:p>
    <w:p w14:paraId="0000002B"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The question to which the preceding discussion was directed was whether the manner in which Congress has attempted to meet the interest in having literate naturalized aliens is permissible. In the view of this author, the current literacy requirement is inconsistent with congressional action forbidding the states to engage in the very practices that the INS follows. Clearly, there is room for a constitutional challenge on procedural due process grounds, but realistically this will be unavailable to aliens who fail to pass the literacy test. They either will not have the resources to appeal or would </w:t>
      </w:r>
      <w:r>
        <w:rPr>
          <w:rFonts w:ascii="Palatino" w:eastAsia="Palatino" w:hAnsi="Palatino" w:cs="Palatino"/>
          <w:color w:val="000000"/>
          <w:sz w:val="21"/>
          <w:szCs w:val="21"/>
        </w:rPr>
        <w:lastRenderedPageBreak/>
        <w:t>fail to meet the literacy requirement even if the utmost in procedural due process were afforded them. The fact remains that the interest in controlling subversive activities has as much to do with enactment of the provision as did the general welfare interest. The requirement remains a product of outmoded thinking which has a stigmatizing impact on all non-English-speaking citizen groups. Congress could apply the requirements of the civil rights legislation to the INS, and the requirement would lose some of its objectionable elements. But a major objectionable element would remain, just as a state literacy test administered according to exacting procedural standards would remain objectionable if it operated to stigmatize members of certain minority groups.</w:t>
      </w:r>
    </w:p>
    <w:p w14:paraId="0000002C"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 .</w:t>
      </w:r>
    </w:p>
    <w:p w14:paraId="0000002D" w14:textId="77777777" w:rsidR="00AC267B" w:rsidRDefault="00000000">
      <w:pPr>
        <w:widowControl w:val="0"/>
        <w:pBdr>
          <w:top w:val="nil"/>
          <w:left w:val="nil"/>
          <w:bottom w:val="nil"/>
          <w:right w:val="nil"/>
          <w:between w:val="nil"/>
        </w:pBdr>
        <w:tabs>
          <w:tab w:val="left" w:pos="300"/>
        </w:tabs>
        <w:spacing w:before="180" w:after="120"/>
        <w:jc w:val="center"/>
        <w:rPr>
          <w:rFonts w:ascii="Palatino" w:eastAsia="Palatino" w:hAnsi="Palatino" w:cs="Palatino"/>
          <w:b/>
          <w:bCs/>
          <w:color w:val="000000"/>
          <w:sz w:val="22"/>
          <w:szCs w:val="22"/>
        </w:rPr>
      </w:pPr>
      <w:r>
        <w:rPr>
          <w:rFonts w:ascii="Palatino" w:eastAsia="Palatino" w:hAnsi="Palatino" w:cs="Palatino"/>
          <w:b/>
          <w:bCs/>
          <w:color w:val="000000"/>
          <w:sz w:val="22"/>
          <w:szCs w:val="22"/>
        </w:rPr>
        <w:t>Conclusion</w:t>
      </w:r>
    </w:p>
    <w:p w14:paraId="0000002E"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 . .</w:t>
      </w:r>
    </w:p>
    <w:p w14:paraId="0000002F"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The English literacy provision of the naturalization statute was enacted to address internal security concerns and notions that English literacy is indispensable to the fulfillment of citizenship responsibilities, motivations which in operation may be destructive of personal rights. In this analysis, the author has suggested that the provision has impacts that are not isolated to individual aliens petitioning for citizenship. No attempt has been made to question the detrimental impact on resident aliens’ having to comply with the statute because given settled law which holds that the alien has virtually no substantive rights in the naturalization process, there appears to be no room for a serious challenge based on the direct impact of the provision. Congressional history, however, suggests that the purpose behind the statute encompassed more than the effects on petitioning aliens since it can reasonably be inferred that the congressional thinking applied to all persons of non-English literacy backgrounds. This analysis proceeds on the assumption that there are significant numbers of citizens of non-English literacy backgrounds that suffer measurable consequences from a statute that denies citizenship to resident aliens of identical backgrounds. Those consequences include a stigmatizing impact and an obstacle imposed to the attainment of voting strength of particular ethnic groups. To the extent that these consequences can be proved, a case is made that both a discriminatory impact and purpose are present. Accordingly, the Government should be held to a compelling state interest standard of review.</w:t>
      </w:r>
    </w:p>
    <w:p w14:paraId="00000030" w14:textId="77777777" w:rsidR="00AC267B" w:rsidRDefault="00000000">
      <w:pPr>
        <w:widowControl w:val="0"/>
        <w:pBdr>
          <w:top w:val="nil"/>
          <w:left w:val="nil"/>
          <w:bottom w:val="single" w:sz="8" w:space="0" w:color="000000"/>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A challenge to the naturalization literacy provision is also necessary to erode the unwarranted and legally unsound judicial tendency to leave congressional actions dealing with aliens unquestioned. Part II of this work examined this tendency, and the conclusion is offered that courts are too willing to forego exercise of their role. Given the history and the attitude that has prevailed in this area of law, courts must recognize that legislation dealing with alien residents is often based on racial, ethnic, or religious generalizations that impact entire discernible groups, made up of both citizens and non-citizens. If the courts open the doors to these challenges, they may see that protected interests of both citizens and non-citizens are being violated. This author recognizes the perhaps insurmountable hurdle of convincing a court that an alien has protected interests in the naturalization process and has, therefore, focused on interests of citizens that are being violated through the English literacy provision. Those interests warrant protection; thus, the courts should declare that the literacy provision of the naturalization statute can no longer be enforced.</w:t>
      </w:r>
    </w:p>
    <w:p w14:paraId="00000031" w14:textId="77777777" w:rsidR="00AC267B" w:rsidRDefault="00000000">
      <w:pPr>
        <w:keepNext/>
        <w:keepLines/>
        <w:widowControl w:val="0"/>
        <w:pBdr>
          <w:top w:val="nil"/>
          <w:left w:val="nil"/>
          <w:bottom w:val="nil"/>
          <w:right w:val="nil"/>
          <w:between w:val="nil"/>
        </w:pBdr>
        <w:tabs>
          <w:tab w:val="left" w:pos="300"/>
        </w:tabs>
        <w:spacing w:before="480" w:after="120"/>
        <w:jc w:val="center"/>
        <w:rPr>
          <w:rFonts w:ascii="Palatino" w:eastAsia="Palatino" w:hAnsi="Palatino" w:cs="Palatino"/>
          <w:b/>
          <w:bCs/>
          <w:smallCaps/>
          <w:color w:val="000000"/>
        </w:rPr>
      </w:pPr>
      <w:r>
        <w:rPr>
          <w:rFonts w:ascii="Palatino" w:eastAsia="Palatino" w:hAnsi="Palatino" w:cs="Palatino"/>
          <w:b/>
          <w:bCs/>
          <w:smallCaps/>
          <w:color w:val="000000"/>
        </w:rPr>
        <w:lastRenderedPageBreak/>
        <w:t>NOTES AND QUESTIONS</w:t>
      </w:r>
    </w:p>
    <w:p w14:paraId="00000032" w14:textId="77777777" w:rsidR="00AC267B" w:rsidRDefault="00000000">
      <w:pPr>
        <w:widowControl w:val="0"/>
        <w:pBdr>
          <w:top w:val="nil"/>
          <w:left w:val="nil"/>
          <w:bottom w:val="nil"/>
          <w:right w:val="nil"/>
          <w:between w:val="nil"/>
        </w:pBdr>
        <w:tabs>
          <w:tab w:val="right" w:pos="480"/>
        </w:tabs>
        <w:spacing w:after="0"/>
        <w:ind w:left="600" w:hanging="300"/>
        <w:jc w:val="both"/>
        <w:rPr>
          <w:rFonts w:ascii="Palatino" w:eastAsia="Palatino" w:hAnsi="Palatino" w:cs="Palatino"/>
          <w:color w:val="000000"/>
          <w:sz w:val="21"/>
          <w:szCs w:val="21"/>
        </w:rPr>
      </w:pPr>
      <w:r>
        <w:rPr>
          <w:rFonts w:ascii="Palatino" w:eastAsia="Palatino" w:hAnsi="Palatino" w:cs="Palatino"/>
          <w:color w:val="000000"/>
          <w:sz w:val="21"/>
          <w:szCs w:val="21"/>
        </w:rPr>
        <w:tab/>
        <w:t>1.</w:t>
      </w:r>
      <w:r>
        <w:rPr>
          <w:rFonts w:ascii="Palatino" w:eastAsia="Palatino" w:hAnsi="Palatino" w:cs="Palatino"/>
          <w:color w:val="000000"/>
          <w:sz w:val="21"/>
          <w:szCs w:val="21"/>
        </w:rPr>
        <w:tab/>
        <w:t>Do you agree with Ricardo Gonzalez Cedillo’s arguments? Are his points as relevant today?</w:t>
      </w:r>
    </w:p>
    <w:p w14:paraId="00000033" w14:textId="77777777" w:rsidR="00AC267B" w:rsidRDefault="00AC267B"/>
    <w:p w14:paraId="00000034" w14:textId="77777777" w:rsidR="00AC267B" w:rsidRDefault="00000000">
      <w:r>
        <w:t>On page 200, before the section on Oath of Allegiance, read this with respect to good moral character:</w:t>
      </w:r>
    </w:p>
    <w:p w14:paraId="00000035" w14:textId="77777777" w:rsidR="00AC267B" w:rsidRDefault="00AC267B"/>
    <w:p w14:paraId="00000036"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Professor Kevin Lapp is particularly troubled by the expansion of bars to good moral character triggered by criminal conduct.</w:t>
      </w:r>
    </w:p>
    <w:p w14:paraId="00000037" w14:textId="77777777" w:rsidR="00AC267B" w:rsidRDefault="00000000">
      <w:pPr>
        <w:widowControl w:val="0"/>
        <w:pBdr>
          <w:top w:val="nil"/>
          <w:left w:val="nil"/>
          <w:bottom w:val="nil"/>
          <w:right w:val="nil"/>
          <w:between w:val="nil"/>
        </w:pBdr>
        <w:tabs>
          <w:tab w:val="left" w:pos="600"/>
        </w:tabs>
        <w:spacing w:before="120" w:after="120"/>
        <w:ind w:left="300" w:right="300"/>
        <w:jc w:val="both"/>
        <w:rPr>
          <w:rFonts w:ascii="Palatino" w:eastAsia="Palatino" w:hAnsi="Palatino" w:cs="Palatino"/>
          <w:color w:val="000000"/>
          <w:sz w:val="19"/>
          <w:szCs w:val="19"/>
        </w:rPr>
      </w:pPr>
      <w:r>
        <w:rPr>
          <w:rFonts w:ascii="Palatino" w:eastAsia="Palatino" w:hAnsi="Palatino" w:cs="Palatino"/>
          <w:color w:val="000000"/>
          <w:sz w:val="19"/>
          <w:szCs w:val="19"/>
        </w:rPr>
        <w:t>Given the statute’s requirement of showing good moral character only during the required residence and physical presence period, it was long the law that an applicant’s conduct outside that period could not be used per se to deny a finding of good moral character. That is, judges could not rely exclusively on convictions or criminal conduct to which the applicant admitted from outside the five-year period preceding the application to deny naturalization on character grounds. As many courts stated, an applicant’s “past is of course some index of what is permanent in their make-up, but the test is what they will be, if they become citizens</w:t>
      </w:r>
      <w:proofErr w:type="gramStart"/>
      <w:r>
        <w:rPr>
          <w:rFonts w:ascii="Palatino" w:eastAsia="Palatino" w:hAnsi="Palatino" w:cs="Palatino"/>
          <w:color w:val="000000"/>
          <w:sz w:val="19"/>
          <w:szCs w:val="19"/>
        </w:rPr>
        <w:t>.”. . .</w:t>
      </w:r>
      <w:proofErr w:type="gramEnd"/>
    </w:p>
    <w:p w14:paraId="00000038" w14:textId="77777777" w:rsidR="00AC267B" w:rsidRDefault="00000000">
      <w:pPr>
        <w:widowControl w:val="0"/>
        <w:pBdr>
          <w:top w:val="nil"/>
          <w:left w:val="nil"/>
          <w:bottom w:val="nil"/>
          <w:right w:val="nil"/>
          <w:between w:val="nil"/>
        </w:pBdr>
        <w:tabs>
          <w:tab w:val="left" w:pos="600"/>
        </w:tabs>
        <w:spacing w:before="120" w:after="120"/>
        <w:ind w:left="300" w:right="300"/>
        <w:jc w:val="both"/>
        <w:rPr>
          <w:rFonts w:ascii="Palatino" w:eastAsia="Palatino" w:hAnsi="Palatino" w:cs="Palatino"/>
          <w:color w:val="000000"/>
          <w:sz w:val="19"/>
          <w:szCs w:val="19"/>
        </w:rPr>
      </w:pPr>
      <w:r>
        <w:rPr>
          <w:rFonts w:ascii="Palatino" w:eastAsia="Palatino" w:hAnsi="Palatino" w:cs="Palatino"/>
          <w:color w:val="000000"/>
          <w:sz w:val="19"/>
          <w:szCs w:val="19"/>
        </w:rPr>
        <w:t>Accordingly, the immigration service historically trained its nationality examiners to take a redemptive view toward prior criminal conduct. A mid-twentieth century Nationality Manual for agency employees stated that “[</w:t>
      </w:r>
      <w:proofErr w:type="spellStart"/>
      <w:r>
        <w:rPr>
          <w:rFonts w:ascii="Palatino" w:eastAsia="Palatino" w:hAnsi="Palatino" w:cs="Palatino"/>
          <w:color w:val="000000"/>
          <w:sz w:val="19"/>
          <w:szCs w:val="19"/>
        </w:rPr>
        <w:t>i</w:t>
      </w:r>
      <w:proofErr w:type="spellEnd"/>
      <w:r>
        <w:rPr>
          <w:rFonts w:ascii="Palatino" w:eastAsia="Palatino" w:hAnsi="Palatino" w:cs="Palatino"/>
          <w:color w:val="000000"/>
          <w:sz w:val="19"/>
          <w:szCs w:val="19"/>
        </w:rPr>
        <w:t>]n fixing specific periods during which an applicant must establish his good moral character, Congress undoubtedly intended to provide for the reformation of those who have been guilty of past misdeeds.” The manual declared that the good moral character provision “makes ample allowance for reformation,” so much so that it was the service’s position that “[n]</w:t>
      </w:r>
      <w:proofErr w:type="spellStart"/>
      <w:r>
        <w:rPr>
          <w:rFonts w:ascii="Palatino" w:eastAsia="Palatino" w:hAnsi="Palatino" w:cs="Palatino"/>
          <w:color w:val="000000"/>
          <w:sz w:val="19"/>
          <w:szCs w:val="19"/>
        </w:rPr>
        <w:t>otwithstanding</w:t>
      </w:r>
      <w:proofErr w:type="spellEnd"/>
      <w:r>
        <w:rPr>
          <w:rFonts w:ascii="Palatino" w:eastAsia="Palatino" w:hAnsi="Palatino" w:cs="Palatino"/>
          <w:color w:val="000000"/>
          <w:sz w:val="19"/>
          <w:szCs w:val="19"/>
        </w:rPr>
        <w:t xml:space="preserve"> that a petitioner may have been convicted of murder prior to the statutory period, he may nevertheless be in a position to establish good moral character.”</w:t>
      </w:r>
    </w:p>
    <w:p w14:paraId="00000039" w14:textId="77777777" w:rsidR="00AC267B" w:rsidRDefault="00000000">
      <w:pPr>
        <w:widowControl w:val="0"/>
        <w:pBdr>
          <w:top w:val="nil"/>
          <w:left w:val="nil"/>
          <w:bottom w:val="nil"/>
          <w:right w:val="nil"/>
          <w:between w:val="nil"/>
        </w:pBdr>
        <w:tabs>
          <w:tab w:val="left" w:pos="600"/>
        </w:tabs>
        <w:spacing w:before="120" w:after="120"/>
        <w:ind w:left="300" w:right="300"/>
        <w:jc w:val="both"/>
        <w:rPr>
          <w:rFonts w:ascii="Palatino" w:eastAsia="Palatino" w:hAnsi="Palatino" w:cs="Palatino"/>
          <w:color w:val="000000"/>
          <w:sz w:val="19"/>
          <w:szCs w:val="19"/>
        </w:rPr>
      </w:pPr>
      <w:r>
        <w:rPr>
          <w:rFonts w:ascii="Palatino" w:eastAsia="Palatino" w:hAnsi="Palatino" w:cs="Palatino"/>
          <w:color w:val="000000"/>
          <w:sz w:val="19"/>
          <w:szCs w:val="19"/>
        </w:rPr>
        <w:t xml:space="preserve">While some courts, particularly early in the twentieth century, felt that any violation of the law showed a lack of good moral character, the bulk of midcentury good moral character cases exhibited a more nuanced and redemptive view. As Learned Hand described the judge’s task at the time, “[w]e must own that the statute imposes upon courts a task impossible of assured execution; people differ as much about moral conduct as they do about beauty.” The standard permitted a finding of good moral character, for example, despite an applicant’s </w:t>
      </w:r>
      <w:proofErr w:type="spellStart"/>
      <w:r>
        <w:rPr>
          <w:rFonts w:ascii="Palatino" w:eastAsia="Palatino" w:hAnsi="Palatino" w:cs="Palatino"/>
          <w:color w:val="000000"/>
          <w:sz w:val="19"/>
          <w:szCs w:val="19"/>
        </w:rPr>
        <w:t>preperiod</w:t>
      </w:r>
      <w:proofErr w:type="spellEnd"/>
      <w:r>
        <w:rPr>
          <w:rFonts w:ascii="Palatino" w:eastAsia="Palatino" w:hAnsi="Palatino" w:cs="Palatino"/>
          <w:color w:val="000000"/>
          <w:sz w:val="19"/>
          <w:szCs w:val="19"/>
        </w:rPr>
        <w:t xml:space="preserve"> convictions for armed robbery and breaking into a U.S. Post Office with intent to commit larceny. It even allowed for a grant of citizenship to an applicant who had pled guilty to manslaughter five years and a few weeks before his application and had been in prison for part of the five-year period during which he had to demonstrate his good moral character. In another case, the court denied a naturalization petition because the applicant had deliberately put to death his bed-ridden, blind, mute, and deformed thirteen-year-old son within five years of his application; but “wish[ed] to make it plain that a new petition would not be open to this objection; and that the pitiable event, now long past, will not prevent [the applicant] from taking his place among us as a citizen.”</w:t>
      </w:r>
    </w:p>
    <w:p w14:paraId="0000003A" w14:textId="77777777" w:rsidR="00AC267B" w:rsidRDefault="00000000">
      <w:pPr>
        <w:widowControl w:val="0"/>
        <w:pBdr>
          <w:top w:val="nil"/>
          <w:left w:val="nil"/>
          <w:bottom w:val="nil"/>
          <w:right w:val="nil"/>
          <w:between w:val="nil"/>
        </w:pBdr>
        <w:tabs>
          <w:tab w:val="left" w:pos="600"/>
        </w:tabs>
        <w:spacing w:before="120" w:after="120"/>
        <w:ind w:left="300" w:right="300"/>
        <w:jc w:val="both"/>
        <w:rPr>
          <w:rFonts w:ascii="Palatino" w:eastAsia="Palatino" w:hAnsi="Palatino" w:cs="Palatino"/>
          <w:color w:val="000000"/>
          <w:sz w:val="19"/>
          <w:szCs w:val="19"/>
        </w:rPr>
      </w:pPr>
      <w:r>
        <w:rPr>
          <w:rFonts w:ascii="Palatino" w:eastAsia="Palatino" w:hAnsi="Palatino" w:cs="Palatino"/>
          <w:color w:val="000000"/>
          <w:sz w:val="19"/>
          <w:szCs w:val="19"/>
        </w:rPr>
        <w:t xml:space="preserve">All of this is to say that present good moral character was long the touchstone of the character inquiry for a naturalization applicant. A more stringent, or backward-focused, conception of good moral character would result in the archaic and uncompromising view that people are beyond redemption or change. As the Ninth Circuit noted, “Such a conclusion would require a holding that Congress had enacted a legislative doctrine of. . .eternal damnation. All modern legislation dealing with crime and punishment proceeds upon the theory that aside from capital cases, no man is beyond redemption. We think a like </w:t>
      </w:r>
      <w:r>
        <w:rPr>
          <w:rFonts w:ascii="Palatino" w:eastAsia="Palatino" w:hAnsi="Palatino" w:cs="Palatino"/>
          <w:color w:val="000000"/>
          <w:sz w:val="19"/>
          <w:szCs w:val="19"/>
        </w:rPr>
        <w:lastRenderedPageBreak/>
        <w:t>principle underlies these provisions for naturalization.” In short, federal courts recognized that, with respect to an applicant’s moral character, “Congress has made the judgment that rehabilitation is possible.”</w:t>
      </w:r>
    </w:p>
    <w:p w14:paraId="0000003B" w14:textId="77777777" w:rsidR="00AC267B" w:rsidRDefault="00000000">
      <w:pPr>
        <w:widowControl w:val="0"/>
        <w:pBdr>
          <w:top w:val="nil"/>
          <w:left w:val="nil"/>
          <w:bottom w:val="nil"/>
          <w:right w:val="nil"/>
          <w:between w:val="nil"/>
        </w:pBdr>
        <w:tabs>
          <w:tab w:val="left" w:pos="600"/>
        </w:tabs>
        <w:spacing w:before="120" w:after="120"/>
        <w:ind w:left="300" w:right="300"/>
        <w:jc w:val="both"/>
        <w:rPr>
          <w:rFonts w:ascii="Palatino" w:eastAsia="Palatino" w:hAnsi="Palatino" w:cs="Palatino"/>
          <w:color w:val="000000"/>
          <w:sz w:val="19"/>
          <w:szCs w:val="19"/>
        </w:rPr>
      </w:pPr>
      <w:r>
        <w:rPr>
          <w:rFonts w:ascii="Palatino" w:eastAsia="Palatino" w:hAnsi="Palatino" w:cs="Palatino"/>
          <w:color w:val="000000"/>
          <w:sz w:val="19"/>
          <w:szCs w:val="19"/>
        </w:rPr>
        <w:t>USCIS ostensibly adopts this position, claiming to view the good moral character requirement as reflecting a congressional intent “to make provision for the reformation and eventual naturalization of persons who were guilty of past misconduct</w:t>
      </w:r>
      <w:proofErr w:type="gramStart"/>
      <w:r>
        <w:rPr>
          <w:rFonts w:ascii="Palatino" w:eastAsia="Palatino" w:hAnsi="Palatino" w:cs="Palatino"/>
          <w:color w:val="000000"/>
          <w:sz w:val="19"/>
          <w:szCs w:val="19"/>
        </w:rPr>
        <w:t>.”. . .</w:t>
      </w:r>
      <w:proofErr w:type="gramEnd"/>
    </w:p>
    <w:p w14:paraId="0000003C" w14:textId="77777777" w:rsidR="00AC267B" w:rsidRDefault="00000000">
      <w:pPr>
        <w:widowControl w:val="0"/>
        <w:pBdr>
          <w:top w:val="nil"/>
          <w:left w:val="nil"/>
          <w:bottom w:val="nil"/>
          <w:right w:val="nil"/>
          <w:between w:val="nil"/>
        </w:pBdr>
        <w:tabs>
          <w:tab w:val="left" w:pos="600"/>
        </w:tabs>
        <w:spacing w:before="120" w:after="120"/>
        <w:ind w:left="300" w:right="300"/>
        <w:jc w:val="both"/>
        <w:rPr>
          <w:rFonts w:ascii="Palatino" w:eastAsia="Palatino" w:hAnsi="Palatino" w:cs="Palatino"/>
          <w:color w:val="000000"/>
          <w:sz w:val="19"/>
          <w:szCs w:val="19"/>
        </w:rPr>
      </w:pPr>
      <w:r>
        <w:rPr>
          <w:rFonts w:ascii="Palatino" w:eastAsia="Palatino" w:hAnsi="Palatino" w:cs="Palatino"/>
          <w:color w:val="000000"/>
          <w:sz w:val="19"/>
          <w:szCs w:val="19"/>
        </w:rPr>
        <w:t>[However,] [w]hat emerges from [many] examples is that agency personnel tasked with adjudicating naturalization applications hold false impressions about the eligibility of those with a criminal past. Some naturalization examiners mistakenly believe that an aggravated felony conviction from any time precludes a finding of good moral character; some mistakenly believe that a conviction for a deportable offense precludes a finding of good moral character; and some mistakenly believe that pending removal proceedings indicate an incompatibility with membership. In each instance, ISOs are getting the law wrong. They are not required to deny a good moral character finding in any of those instances.</w:t>
      </w:r>
    </w:p>
    <w:p w14:paraId="0000003D" w14:textId="77777777" w:rsidR="00AC267B" w:rsidRDefault="00000000">
      <w:pPr>
        <w:widowControl w:val="0"/>
        <w:pBdr>
          <w:top w:val="nil"/>
          <w:left w:val="nil"/>
          <w:bottom w:val="nil"/>
          <w:right w:val="nil"/>
          <w:between w:val="nil"/>
        </w:pBdr>
        <w:tabs>
          <w:tab w:val="left" w:pos="600"/>
        </w:tabs>
        <w:spacing w:before="120" w:after="120"/>
        <w:ind w:left="300" w:right="300"/>
        <w:jc w:val="both"/>
        <w:rPr>
          <w:rFonts w:ascii="Palatino" w:eastAsia="Palatino" w:hAnsi="Palatino" w:cs="Palatino"/>
          <w:color w:val="000000"/>
          <w:sz w:val="19"/>
          <w:szCs w:val="19"/>
        </w:rPr>
      </w:pPr>
      <w:r>
        <w:rPr>
          <w:rFonts w:ascii="Palatino" w:eastAsia="Palatino" w:hAnsi="Palatino" w:cs="Palatino"/>
          <w:color w:val="000000"/>
          <w:sz w:val="19"/>
          <w:szCs w:val="19"/>
        </w:rPr>
        <w:t>These USCIS practices are subverting the statutory and regulatory scheme governing naturalization. In ways not required by the INA, and in some instances in clear contradiction of the law and congressional intent, removability is trumping eligibility for citizenship as the agency uses the naturalization process to effectuate removal policies. The expanded deportation provisions, [instructional memoranda], and misinformed examiners are increasingly preventing naturalization on character grounds. Individuals eligible to naturalize, who are encouraged to naturalize by a host of laws, policies, and programs, and who Congress meant for adjudicators to examine by focusing on their present character, are instead being judged harshly by their past misdeeds and placed in removal proceedings.</w:t>
      </w:r>
      <w:r>
        <w:rPr>
          <w:rFonts w:ascii="Palatino" w:eastAsia="Palatino" w:hAnsi="Palatino" w:cs="Palatino"/>
          <w:color w:val="000000"/>
          <w:sz w:val="19"/>
          <w:szCs w:val="19"/>
          <w:vertAlign w:val="superscript"/>
        </w:rPr>
        <w:footnoteReference w:id="1"/>
      </w:r>
    </w:p>
    <w:p w14:paraId="0000003E" w14:textId="77777777" w:rsidR="00AC267B" w:rsidRDefault="00AC267B"/>
    <w:p w14:paraId="0000003F" w14:textId="77777777" w:rsidR="00AC267B" w:rsidRDefault="00AC267B"/>
    <w:p w14:paraId="00000040" w14:textId="77777777" w:rsidR="00AC267B" w:rsidRDefault="00000000">
      <w:r>
        <w:t>On page 203, before part IV on Acquisition and Derivation, read this</w:t>
      </w:r>
    </w:p>
    <w:p w14:paraId="00000041" w14:textId="77777777" w:rsidR="00AC267B" w:rsidRDefault="00000000">
      <w:pPr>
        <w:keepNext/>
        <w:keepLines/>
        <w:widowControl w:val="0"/>
        <w:pBdr>
          <w:top w:val="nil"/>
          <w:left w:val="nil"/>
          <w:bottom w:val="nil"/>
          <w:right w:val="nil"/>
          <w:between w:val="nil"/>
        </w:pBdr>
        <w:tabs>
          <w:tab w:val="left" w:pos="300"/>
        </w:tabs>
        <w:spacing w:before="300" w:after="120"/>
        <w:rPr>
          <w:rFonts w:ascii="Palatino" w:eastAsia="Palatino" w:hAnsi="Palatino" w:cs="Palatino"/>
          <w:b/>
          <w:bCs/>
          <w:color w:val="000000"/>
          <w:sz w:val="25"/>
          <w:szCs w:val="25"/>
        </w:rPr>
      </w:pPr>
      <w:r>
        <w:rPr>
          <w:rFonts w:ascii="Palatino" w:eastAsia="Palatino" w:hAnsi="Palatino" w:cs="Palatino"/>
          <w:b/>
          <w:bCs/>
          <w:color w:val="000000"/>
          <w:sz w:val="25"/>
          <w:szCs w:val="25"/>
        </w:rPr>
        <w:t>G. Philosophy Behind Encouraging Naturalization</w:t>
      </w:r>
    </w:p>
    <w:p w14:paraId="00000042"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Many immigrant rights advocates encourage immigrants to seek citizenship through naturalization in order to meet a basic requirement to register to vote and as a step toward civic participation. Many advocates urge immigrants to naturalize and become voters in order to increase the voting strength of immigrant communities, in part to help elect more pro-immigrant political leaders. Some advocates also believe that increasing naturalization would help to quell the criticism expressed by some anti-immigrant groups that claim that immigrants do not really want to assimilate or become American.</w:t>
      </w:r>
    </w:p>
    <w:p w14:paraId="00000043"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Consider the language and tone of this next report.</w:t>
      </w:r>
    </w:p>
    <w:p w14:paraId="00000044" w14:textId="77777777" w:rsidR="00AC267B" w:rsidRDefault="00000000">
      <w:pPr>
        <w:widowControl w:val="0"/>
        <w:pBdr>
          <w:top w:val="single" w:sz="4" w:space="28" w:color="A73439"/>
          <w:left w:val="nil"/>
          <w:bottom w:val="nil"/>
          <w:right w:val="nil"/>
          <w:between w:val="nil"/>
        </w:pBdr>
        <w:tabs>
          <w:tab w:val="left" w:pos="300"/>
        </w:tabs>
        <w:spacing w:before="480" w:after="0"/>
        <w:jc w:val="center"/>
        <w:rPr>
          <w:rFonts w:ascii="Palatino" w:eastAsia="Palatino" w:hAnsi="Palatino" w:cs="Palatino"/>
          <w:i/>
          <w:iCs/>
          <w:color w:val="000000"/>
          <w:sz w:val="25"/>
          <w:szCs w:val="25"/>
        </w:rPr>
      </w:pPr>
      <w:r>
        <w:rPr>
          <w:rFonts w:ascii="Palatino" w:eastAsia="Palatino" w:hAnsi="Palatino" w:cs="Palatino"/>
          <w:i/>
          <w:iCs/>
          <w:color w:val="000000"/>
          <w:sz w:val="25"/>
          <w:szCs w:val="25"/>
        </w:rPr>
        <w:t xml:space="preserve">Grantmakers Concerned with Immigrants and Refugees, Integration Potential of California’s </w:t>
      </w:r>
      <w:r>
        <w:rPr>
          <w:rFonts w:ascii="Palatino" w:eastAsia="Palatino" w:hAnsi="Palatino" w:cs="Palatino"/>
          <w:i/>
          <w:iCs/>
          <w:color w:val="000000"/>
          <w:sz w:val="25"/>
          <w:szCs w:val="25"/>
        </w:rPr>
        <w:lastRenderedPageBreak/>
        <w:t>Immigrants and Their Children</w:t>
      </w:r>
    </w:p>
    <w:p w14:paraId="00000045" w14:textId="77777777" w:rsidR="00AC267B" w:rsidRDefault="00000000">
      <w:pPr>
        <w:widowControl w:val="0"/>
        <w:pBdr>
          <w:top w:val="nil"/>
          <w:left w:val="nil"/>
          <w:bottom w:val="nil"/>
          <w:right w:val="nil"/>
          <w:between w:val="nil"/>
        </w:pBdr>
        <w:tabs>
          <w:tab w:val="left" w:pos="300"/>
        </w:tabs>
        <w:spacing w:after="180"/>
        <w:jc w:val="center"/>
        <w:rPr>
          <w:rFonts w:ascii="Open Sans" w:eastAsia="Open Sans" w:hAnsi="Open Sans" w:cs="Open Sans"/>
          <w:color w:val="000000"/>
          <w:sz w:val="19"/>
          <w:szCs w:val="19"/>
        </w:rPr>
      </w:pPr>
      <w:r>
        <w:rPr>
          <w:rFonts w:ascii="Open Sans" w:eastAsia="Open Sans" w:hAnsi="Open Sans" w:cs="Open Sans"/>
          <w:color w:val="000000"/>
          <w:sz w:val="19"/>
          <w:szCs w:val="19"/>
        </w:rPr>
        <w:t>(2008)</w:t>
      </w:r>
    </w:p>
    <w:p w14:paraId="00000046" w14:textId="77777777" w:rsidR="00AC267B" w:rsidRDefault="00000000">
      <w:pPr>
        <w:widowControl w:val="0"/>
        <w:pBdr>
          <w:top w:val="nil"/>
          <w:left w:val="nil"/>
          <w:bottom w:val="nil"/>
          <w:right w:val="nil"/>
          <w:between w:val="nil"/>
        </w:pBdr>
        <w:tabs>
          <w:tab w:val="left" w:pos="300"/>
        </w:tabs>
        <w:spacing w:before="180" w:after="120"/>
        <w:jc w:val="center"/>
        <w:rPr>
          <w:rFonts w:ascii="Palatino" w:eastAsia="Palatino" w:hAnsi="Palatino" w:cs="Palatino"/>
          <w:b/>
          <w:bCs/>
          <w:color w:val="000000"/>
          <w:sz w:val="22"/>
          <w:szCs w:val="22"/>
        </w:rPr>
      </w:pPr>
      <w:r>
        <w:rPr>
          <w:rFonts w:ascii="Palatino" w:eastAsia="Palatino" w:hAnsi="Palatino" w:cs="Palatino"/>
          <w:b/>
          <w:bCs/>
          <w:color w:val="000000"/>
          <w:sz w:val="22"/>
          <w:szCs w:val="22"/>
        </w:rPr>
        <w:t>Executive Summary</w:t>
      </w:r>
    </w:p>
    <w:p w14:paraId="00000047"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California is the leading destination for immigrants to the United States, receiving more than 325,000 new arrivals each year. The immigrant population overall exceeds 9.9 million persons and represents 27.2 percent of all residents in the state. The numbers of immigrants in California are fairly well known, but largely unexamined is the need to ensure that newcomers are effectively integrated into the state’s economy, society, and civic processes. Grantmakers Concerned with Immigrants and Refugees and its California Immigrant Integration Initiative commissioned this report as the first step in understanding that need by examining the size and the potential impact of three key populations: 1) naturalized adult immigrants, 2) legal immigrants eligible to naturalize, and 3) U.S.-citizen children of immigrants who are soon to become adults. This report provides never-before published estimates of these populations for the counties and state legislative districts of California, with breakout data on the countries and regions where the immigrants were born and the race of their citizen children. The findings underscore the critical need for integration policies to incorporate the sizable population of immigrants — both naturalized and naturalization-eligible — and their U.S.-citizen children who will soon turn 18 years of age. These newcomers play a vital role in the current and future vitality of California.</w:t>
      </w:r>
    </w:p>
    <w:p w14:paraId="00000048"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b/>
          <w:bCs/>
          <w:color w:val="000000"/>
          <w:sz w:val="21"/>
          <w:szCs w:val="21"/>
        </w:rPr>
        <w:t>6.5 million immigrants in California are either naturalized or eligible to naturalize.</w:t>
      </w:r>
    </w:p>
    <w:p w14:paraId="00000049"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b/>
          <w:bCs/>
          <w:i/>
          <w:iCs/>
          <w:color w:val="000000"/>
          <w:sz w:val="21"/>
          <w:szCs w:val="21"/>
        </w:rPr>
        <w:t>California is home to 4.2 million naturalized adults, and 2.3 million legal immigrants eligible to naturalize.</w:t>
      </w:r>
    </w:p>
    <w:p w14:paraId="0000004A"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Helping the 2.3 million legal immigrants become U.S. citizens would increase the total adult citizen population in California by more than ten percent and could influence policy decisions on issues of concern to all Californians, including health, education, and workforce development.</w:t>
      </w:r>
    </w:p>
    <w:p w14:paraId="0000004B"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b/>
          <w:bCs/>
          <w:color w:val="000000"/>
          <w:sz w:val="21"/>
          <w:szCs w:val="21"/>
        </w:rPr>
        <w:t>Immigrants from Mexico and Asia constitute the largest share of naturalization eligible immigrants.</w:t>
      </w:r>
    </w:p>
    <w:p w14:paraId="0000004C"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More than 900,000 legal Mexican immigrants in California are eligible to naturalize. Nearly 800,000 Asian immigrants are eligible to naturalize; the top countries of origin include the Philippines (137,000), Vietnam (79,000), and China (69,000).</w:t>
      </w:r>
    </w:p>
    <w:p w14:paraId="0000004D"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b/>
          <w:bCs/>
          <w:color w:val="000000"/>
          <w:sz w:val="21"/>
          <w:szCs w:val="21"/>
        </w:rPr>
        <w:t>1.2 million children of immigrants will soon be eligible to vote.</w:t>
      </w:r>
    </w:p>
    <w:p w14:paraId="0000004E"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b/>
          <w:bCs/>
          <w:i/>
          <w:iCs/>
          <w:color w:val="000000"/>
          <w:sz w:val="21"/>
          <w:szCs w:val="21"/>
        </w:rPr>
        <w:t>Half of Californian children aged 12 and over are children of immigrants.</w:t>
      </w:r>
    </w:p>
    <w:p w14:paraId="0000004F"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Having grown up in an immigrant family, these future voters are likely to be sympathetic toward policies that promote immigrant integration.</w:t>
      </w:r>
    </w:p>
    <w:p w14:paraId="00000050"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b/>
          <w:bCs/>
          <w:i/>
          <w:iCs/>
          <w:color w:val="000000"/>
          <w:sz w:val="21"/>
          <w:szCs w:val="21"/>
        </w:rPr>
        <w:t>Eighty-four percent of California’s children of immigrants are U.S.-born citizens.</w:t>
      </w:r>
    </w:p>
    <w:p w14:paraId="00000051"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These new voters need only register to vote to participate in the electoral process.</w:t>
      </w:r>
    </w:p>
    <w:p w14:paraId="00000052"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b/>
          <w:bCs/>
          <w:i/>
          <w:iCs/>
          <w:color w:val="000000"/>
          <w:sz w:val="21"/>
          <w:szCs w:val="21"/>
        </w:rPr>
        <w:t>Latinos comprise two-thirds of the citizen children of immigrants who will turn 18 by the 2012 elections.</w:t>
      </w:r>
    </w:p>
    <w:p w14:paraId="00000053"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b/>
          <w:bCs/>
          <w:i/>
          <w:iCs/>
          <w:color w:val="000000"/>
          <w:sz w:val="21"/>
          <w:szCs w:val="21"/>
        </w:rPr>
        <w:t>Nearly all Asian children in California aged 12-17 years (93 percent) have an immigrant parent.</w:t>
      </w:r>
    </w:p>
    <w:p w14:paraId="00000054"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As a result, young Asian-American voters are likely to have interest in policies that address the challenges of the immigrant experience.</w:t>
      </w:r>
    </w:p>
    <w:p w14:paraId="00000055"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b/>
          <w:bCs/>
          <w:color w:val="000000"/>
          <w:sz w:val="21"/>
          <w:szCs w:val="21"/>
        </w:rPr>
        <w:t>7.7 million immigrants and their young-adult children constitute 29 percent of all potential Californian voters in 2012.</w:t>
      </w:r>
    </w:p>
    <w:p w14:paraId="00000056"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b/>
          <w:bCs/>
          <w:i/>
          <w:iCs/>
          <w:color w:val="000000"/>
          <w:sz w:val="21"/>
          <w:szCs w:val="21"/>
        </w:rPr>
        <w:lastRenderedPageBreak/>
        <w:t xml:space="preserve">Naturalized adults, naturalization-eligible immigrants, and young-adult citizen children of </w:t>
      </w:r>
      <w:proofErr w:type="gramStart"/>
      <w:r>
        <w:rPr>
          <w:rFonts w:ascii="Palatino" w:eastAsia="Palatino" w:hAnsi="Palatino" w:cs="Palatino"/>
          <w:b/>
          <w:bCs/>
          <w:i/>
          <w:iCs/>
          <w:color w:val="000000"/>
          <w:sz w:val="21"/>
          <w:szCs w:val="21"/>
        </w:rPr>
        <w:t>immigrants</w:t>
      </w:r>
      <w:proofErr w:type="gramEnd"/>
      <w:r>
        <w:rPr>
          <w:rFonts w:ascii="Palatino" w:eastAsia="Palatino" w:hAnsi="Palatino" w:cs="Palatino"/>
          <w:b/>
          <w:bCs/>
          <w:i/>
          <w:iCs/>
          <w:color w:val="000000"/>
          <w:sz w:val="21"/>
          <w:szCs w:val="21"/>
        </w:rPr>
        <w:t xml:space="preserve"> total 7.7 million potential future voters in California.</w:t>
      </w:r>
    </w:p>
    <w:p w14:paraId="00000057"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These individuals with close ties to the immigrant experience represent 29 percent of all potential voters in 2012.</w:t>
      </w:r>
    </w:p>
    <w:p w14:paraId="00000058"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b/>
          <w:bCs/>
          <w:i/>
          <w:iCs/>
          <w:color w:val="000000"/>
          <w:sz w:val="21"/>
          <w:szCs w:val="21"/>
        </w:rPr>
        <w:t>Seven California counties have more than 250,000 potential voters from an immigrant background.</w:t>
      </w:r>
    </w:p>
    <w:p w14:paraId="00000059"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A total of 15 counties have more than 100,000 such potential voters.</w:t>
      </w:r>
    </w:p>
    <w:p w14:paraId="0000005A"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b/>
          <w:bCs/>
          <w:i/>
          <w:iCs/>
          <w:color w:val="000000"/>
          <w:sz w:val="21"/>
          <w:szCs w:val="21"/>
        </w:rPr>
        <w:t>Immigrants and their children potentially comprise a large portion of voters in both Democratic and Republican districts</w:t>
      </w:r>
      <w:r>
        <w:rPr>
          <w:rFonts w:ascii="Palatino" w:eastAsia="Palatino" w:hAnsi="Palatino" w:cs="Palatino"/>
          <w:color w:val="000000"/>
          <w:sz w:val="21"/>
          <w:szCs w:val="21"/>
        </w:rPr>
        <w:t>.</w:t>
      </w:r>
    </w:p>
    <w:p w14:paraId="0000005B"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Far from being confined to state Senate and Assembly districts held by Democrats, these potential voters could exceed 20 percent of all voters in Republican districts in both houses of the State Assembly. These demographic trends make clear that every Californian has a stake in the timely integration of immigrants into local communities. By investing in immigrant integration efforts, California can strengthen its social fabric, invigorate its democracy, and increase its economic vitality and global competitiveness.</w:t>
      </w:r>
    </w:p>
    <w:p w14:paraId="0000005C" w14:textId="77777777" w:rsidR="00AC267B" w:rsidRDefault="00000000">
      <w:pPr>
        <w:widowControl w:val="0"/>
        <w:pBdr>
          <w:top w:val="nil"/>
          <w:left w:val="nil"/>
          <w:bottom w:val="nil"/>
          <w:right w:val="nil"/>
          <w:between w:val="nil"/>
        </w:pBdr>
        <w:tabs>
          <w:tab w:val="left" w:pos="300"/>
        </w:tabs>
        <w:spacing w:before="180" w:after="120"/>
        <w:jc w:val="center"/>
        <w:rPr>
          <w:rFonts w:ascii="Palatino" w:eastAsia="Palatino" w:hAnsi="Palatino" w:cs="Palatino"/>
          <w:b/>
          <w:bCs/>
          <w:color w:val="000000"/>
          <w:sz w:val="22"/>
          <w:szCs w:val="22"/>
        </w:rPr>
      </w:pPr>
      <w:r>
        <w:rPr>
          <w:rFonts w:ascii="Palatino" w:eastAsia="Palatino" w:hAnsi="Palatino" w:cs="Palatino"/>
          <w:b/>
          <w:bCs/>
          <w:color w:val="000000"/>
          <w:sz w:val="22"/>
          <w:szCs w:val="22"/>
        </w:rPr>
        <w:t>Introduction</w:t>
      </w:r>
    </w:p>
    <w:p w14:paraId="0000005D"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No state symbolizes the modern immigrant experience more than California. The Golden State receives more than 325,000 immigrants each year from virtually every part of the world. These immigrants enter the country through many channels. They come to fill jobs, reunite with family members, and flee persecution. They settle in large numbers in all parts of the state, from urbanized counties such as Los Angeles and San Francisco to rural and agricultural regions such as Merced and Fresno counties. Once immigrants become established in California towns and cities, ensuring their integration into the economic, social, and political fabric of society is essential to addressing concerns and reaping the benefits of immigration.</w:t>
      </w:r>
    </w:p>
    <w:p w14:paraId="0000005E"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For California, the benefits of immigrant integration will reveal themselves in a more dynamic economy in which immigrants fully utilize their skills, and in a more cohesive society where the foreign-born and their neighbors work together toward common goals. As importantly, immigrant integration will ensure that the voices of all the state’s residents infuse the democratic process to the greatest extent possible and shape policies that protect rights and advance opportunities for all Californians.</w:t>
      </w:r>
    </w:p>
    <w:p w14:paraId="0000005F"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Immigrant integration in California, however, will not happen on its own. The United States has no cohesive immigrant integration policies, and the failure to pass comprehensive federal immigration reform legislation in 2007 underscores the disconnect between federal leadership and local needs and realities. With one-third of California’s residents born abroad, state and local governments have a demographic, economic, and civic imperative to act. These institutions — working in partnership with the private and nonprofit sectors — must fill the federal leadership void and advance immigrant integration policies, programs, and practices to maximize immigrants’ contributions to the well-being of all California communities. In supporting integration, state, counties, and localities have a wide range of options: English-language instruction, culturally competent health care, job training, and services to assist legal immigrants to naturalize and become active participants in our democratic process. All sectors of our society — from government to business to foundations — have a role to play in developing strategies and solutions that integrate immigrants to the benefit of our society.</w:t>
      </w:r>
    </w:p>
    <w:p w14:paraId="00000060" w14:textId="77777777" w:rsidR="00AC267B" w:rsidRDefault="00000000">
      <w:pPr>
        <w:widowControl w:val="0"/>
        <w:pBdr>
          <w:top w:val="nil"/>
          <w:left w:val="nil"/>
          <w:bottom w:val="nil"/>
          <w:right w:val="nil"/>
          <w:between w:val="nil"/>
        </w:pBdr>
        <w:tabs>
          <w:tab w:val="left" w:pos="300"/>
        </w:tabs>
        <w:spacing w:before="180" w:after="120"/>
        <w:jc w:val="center"/>
        <w:rPr>
          <w:rFonts w:ascii="Palatino" w:eastAsia="Palatino" w:hAnsi="Palatino" w:cs="Palatino"/>
          <w:b/>
          <w:bCs/>
          <w:color w:val="000000"/>
          <w:sz w:val="22"/>
          <w:szCs w:val="22"/>
        </w:rPr>
      </w:pPr>
      <w:r>
        <w:rPr>
          <w:rFonts w:ascii="Palatino" w:eastAsia="Palatino" w:hAnsi="Palatino" w:cs="Palatino"/>
          <w:b/>
          <w:bCs/>
          <w:color w:val="000000"/>
          <w:sz w:val="22"/>
          <w:szCs w:val="22"/>
        </w:rPr>
        <w:lastRenderedPageBreak/>
        <w:t>Assessing the Potential</w:t>
      </w:r>
    </w:p>
    <w:p w14:paraId="00000061"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A key measure of immigrant integration is the attainment of U.S. citizenship and the exercise of basic rights and responsibilities bestowed to citizens. These rights and responsibilities include registering to vote and casting a ballot on election day, serving on juries, or holding jobs in the public sector that are reserved for citizens, from providing police and fire protection to serving as elected officials. Knowing how many immigrants currently possess citizenship and how many are eligible to pursue citizenship is essential to promoting immigrant civic integration. As a dynamic, ongoing process, integration entails generational shifts.</w:t>
      </w:r>
    </w:p>
    <w:p w14:paraId="00000062"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Unsurprisingly, many immigrants have children born in the United States. These U.S.-born children are inextricably linked to the phenomenon of immigration. A child born in California yet raised by immigrant parents will naturally have a special awareness of the immigrant experience. That boy or girl may well grow up in a bilingual environment and witness his or her parents navigate, sometimes with difficulty, the challenges and barriers of getting a job, seeking health care, and becoming involved in their children’s education.</w:t>
      </w:r>
    </w:p>
    <w:p w14:paraId="00000063"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As such, children of immigrants are likely, as future voters, to support inclusive messages and to reject efforts to exclude and otherwise restrict the rights of immigrants. From their personal experience, they are well-positioned to appreciate the importance of expanding opportunities for all community members. An understanding of the potential of immigrant civic participation and its impact, therefore, must include the U.S.-born children of immigrants who will soon become the next generation of voters. Using the most recent data sources available as of March 2008, this report provides new information on potential civic participation by California’s immigrant communities. Specifically, the report provides estimates of the following populations:</w:t>
      </w:r>
    </w:p>
    <w:p w14:paraId="00000064" w14:textId="77777777" w:rsidR="00AC267B" w:rsidRDefault="00000000">
      <w:pPr>
        <w:widowControl w:val="0"/>
        <w:numPr>
          <w:ilvl w:val="0"/>
          <w:numId w:val="1"/>
        </w:numPr>
        <w:pBdr>
          <w:top w:val="nil"/>
          <w:left w:val="nil"/>
          <w:bottom w:val="nil"/>
          <w:right w:val="nil"/>
          <w:between w:val="nil"/>
        </w:pBdr>
        <w:spacing w:before="120" w:after="0"/>
        <w:jc w:val="both"/>
        <w:rPr>
          <w:rFonts w:ascii="Palatino" w:eastAsia="Palatino" w:hAnsi="Palatino" w:cs="Palatino"/>
          <w:color w:val="000000"/>
          <w:sz w:val="21"/>
          <w:szCs w:val="21"/>
        </w:rPr>
      </w:pPr>
      <w:r>
        <w:rPr>
          <w:rFonts w:ascii="Palatino" w:eastAsia="Palatino" w:hAnsi="Palatino" w:cs="Palatino"/>
          <w:color w:val="000000"/>
          <w:sz w:val="21"/>
          <w:szCs w:val="21"/>
        </w:rPr>
        <w:t>Naturalized adult immigrants, including information on their country/world region of origin.</w:t>
      </w:r>
    </w:p>
    <w:p w14:paraId="00000065" w14:textId="77777777" w:rsidR="00AC267B" w:rsidRDefault="00000000">
      <w:pPr>
        <w:widowControl w:val="0"/>
        <w:numPr>
          <w:ilvl w:val="0"/>
          <w:numId w:val="1"/>
        </w:numPr>
        <w:pBdr>
          <w:top w:val="nil"/>
          <w:left w:val="nil"/>
          <w:bottom w:val="nil"/>
          <w:right w:val="nil"/>
          <w:between w:val="nil"/>
        </w:pBdr>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Legal immigrants eligible to naturalize, again including information on their country/world region of origin.</w:t>
      </w:r>
    </w:p>
    <w:p w14:paraId="00000066" w14:textId="77777777" w:rsidR="00AC267B" w:rsidRDefault="00000000">
      <w:pPr>
        <w:widowControl w:val="0"/>
        <w:numPr>
          <w:ilvl w:val="0"/>
          <w:numId w:val="1"/>
        </w:numPr>
        <w:pBdr>
          <w:top w:val="nil"/>
          <w:left w:val="nil"/>
          <w:bottom w:val="nil"/>
          <w:right w:val="nil"/>
          <w:between w:val="nil"/>
        </w:pBdr>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U.S. citizen children of immigrants who will soon become voting-age adults, including their race/ethnicity. The report draws information primarily from the 2006 American Community Survey, the 2000 Census, and data from the U.S. Citizenship and Immigration Services. The data and findings are organized for major jurisdictions: for counties, as entities that provide key integration services such as health care; and for state Senate and Assembly districts, whose elected officials cast critical votes in Sacramento on immigrant integration issues. Statistics are also provided for official planning areas used by the City of Los Angeles and for suburban Los Angeles County subdivisions. These geographic areas have some of the largest and most concentrated foreign-born populations in North America.</w:t>
      </w:r>
    </w:p>
    <w:p w14:paraId="00000067"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 .</w:t>
      </w:r>
    </w:p>
    <w:p w14:paraId="00000068" w14:textId="77777777" w:rsidR="00AC267B" w:rsidRDefault="00000000">
      <w:pPr>
        <w:widowControl w:val="0"/>
        <w:pBdr>
          <w:top w:val="nil"/>
          <w:left w:val="nil"/>
          <w:bottom w:val="nil"/>
          <w:right w:val="nil"/>
          <w:between w:val="nil"/>
        </w:pBdr>
        <w:tabs>
          <w:tab w:val="left" w:pos="300"/>
        </w:tabs>
        <w:spacing w:before="180" w:after="120"/>
        <w:jc w:val="center"/>
        <w:rPr>
          <w:rFonts w:ascii="Palatino" w:eastAsia="Palatino" w:hAnsi="Palatino" w:cs="Palatino"/>
          <w:b/>
          <w:bCs/>
          <w:color w:val="000000"/>
          <w:sz w:val="22"/>
          <w:szCs w:val="22"/>
        </w:rPr>
      </w:pPr>
      <w:r>
        <w:rPr>
          <w:rFonts w:ascii="Palatino" w:eastAsia="Palatino" w:hAnsi="Palatino" w:cs="Palatino"/>
          <w:b/>
          <w:bCs/>
          <w:color w:val="000000"/>
          <w:sz w:val="22"/>
          <w:szCs w:val="22"/>
        </w:rPr>
        <w:t>Conclusion</w:t>
      </w:r>
    </w:p>
    <w:p w14:paraId="00000069"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Every Californian has a stake in the timely integration of immigrants into local communities. The demographic trends in this report make clear that integration is a social, economic, and civic imperative, not only for California as a whole but for each and every county in the state. Successful </w:t>
      </w:r>
      <w:r>
        <w:rPr>
          <w:rFonts w:ascii="Palatino" w:eastAsia="Palatino" w:hAnsi="Palatino" w:cs="Palatino"/>
          <w:color w:val="000000"/>
          <w:sz w:val="21"/>
          <w:szCs w:val="21"/>
        </w:rPr>
        <w:lastRenderedPageBreak/>
        <w:t>integration holds the potential to strengthen the social fabric of California, invigorate its democracy, and increase its economic vitality and global competitiveness. As immigrants continue to arrive and their children continue to grow into adulthood, the need for integration efforts will intensify. The sheer size of the immigrant population — coupled with the multi-faceted nature of the challenges and opportunities — demands a coordinated response through multi-sector partnerships.</w:t>
      </w:r>
    </w:p>
    <w:p w14:paraId="0000006A"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Policymakers, </w:t>
      </w:r>
      <w:proofErr w:type="spellStart"/>
      <w:r>
        <w:rPr>
          <w:rFonts w:ascii="Palatino" w:eastAsia="Palatino" w:hAnsi="Palatino" w:cs="Palatino"/>
          <w:color w:val="000000"/>
          <w:sz w:val="21"/>
          <w:szCs w:val="21"/>
        </w:rPr>
        <w:t>grantmakers</w:t>
      </w:r>
      <w:proofErr w:type="spellEnd"/>
      <w:r>
        <w:rPr>
          <w:rFonts w:ascii="Palatino" w:eastAsia="Palatino" w:hAnsi="Palatino" w:cs="Palatino"/>
          <w:color w:val="000000"/>
          <w:sz w:val="21"/>
          <w:szCs w:val="21"/>
        </w:rPr>
        <w:t>, advocates, service providers, and others concerned about fostering healthy communities in California will want to consider what role they can play to promote immigrant integration. Immigrant civic participation strategies will vary depending on the different groups involved. Legal immigrants most need English and civics instruction and naturalization application assistance. Naturalized immigrants may require voter registration, as well as education on the political process and how they can become involved in community affairs. The children of immigrants, meanwhile, like all young persons in the United States, would benefit from civic education efforts that explain the value and impact of registering and voting — and generally becoming more engaged in civic life. These strategies need to be implemented at the local, county, and state levels. Some may best be targeted locally, while others might be statewide initiatives or efforts that work across different ethnic communities.</w:t>
      </w:r>
    </w:p>
    <w:p w14:paraId="0000006B"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By investing in immigrant integration, California can reap the benefits of immigration and emerge a stronger state.</w:t>
      </w:r>
    </w:p>
    <w:p w14:paraId="0000006C" w14:textId="77777777" w:rsidR="00AC267B" w:rsidRDefault="00000000">
      <w:pPr>
        <w:keepNext/>
        <w:keepLines/>
        <w:widowControl w:val="0"/>
        <w:pBdr>
          <w:top w:val="nil"/>
          <w:left w:val="nil"/>
          <w:bottom w:val="nil"/>
          <w:right w:val="nil"/>
          <w:between w:val="nil"/>
        </w:pBdr>
        <w:tabs>
          <w:tab w:val="left" w:pos="300"/>
        </w:tabs>
        <w:spacing w:before="480" w:after="120"/>
        <w:jc w:val="center"/>
        <w:rPr>
          <w:rFonts w:ascii="Palatino" w:eastAsia="Palatino" w:hAnsi="Palatino" w:cs="Palatino"/>
          <w:b/>
          <w:bCs/>
          <w:smallCaps/>
          <w:color w:val="000000"/>
        </w:rPr>
      </w:pPr>
      <w:r>
        <w:rPr>
          <w:rFonts w:ascii="Palatino" w:eastAsia="Palatino" w:hAnsi="Palatino" w:cs="Palatino"/>
          <w:b/>
          <w:bCs/>
          <w:smallCaps/>
          <w:color w:val="000000"/>
        </w:rPr>
        <w:t>NOTES AND QUESTIONS</w:t>
      </w:r>
    </w:p>
    <w:p w14:paraId="0000006D" w14:textId="77777777" w:rsidR="00AC267B" w:rsidRDefault="00000000">
      <w:pPr>
        <w:widowControl w:val="0"/>
        <w:pBdr>
          <w:top w:val="nil"/>
          <w:left w:val="nil"/>
          <w:bottom w:val="nil"/>
          <w:right w:val="nil"/>
          <w:between w:val="nil"/>
        </w:pBdr>
        <w:tabs>
          <w:tab w:val="right" w:pos="480"/>
        </w:tabs>
        <w:spacing w:after="0"/>
        <w:ind w:left="600" w:hanging="300"/>
        <w:jc w:val="both"/>
        <w:rPr>
          <w:rFonts w:ascii="Palatino" w:eastAsia="Palatino" w:hAnsi="Palatino" w:cs="Palatino"/>
          <w:color w:val="000000"/>
          <w:sz w:val="21"/>
          <w:szCs w:val="21"/>
        </w:rPr>
      </w:pPr>
      <w:r>
        <w:rPr>
          <w:rFonts w:ascii="Palatino" w:eastAsia="Palatino" w:hAnsi="Palatino" w:cs="Palatino"/>
          <w:color w:val="000000"/>
          <w:sz w:val="21"/>
          <w:szCs w:val="21"/>
        </w:rPr>
        <w:tab/>
        <w:t>1.</w:t>
      </w:r>
      <w:r>
        <w:rPr>
          <w:rFonts w:ascii="Palatino" w:eastAsia="Palatino" w:hAnsi="Palatino" w:cs="Palatino"/>
          <w:color w:val="000000"/>
          <w:sz w:val="21"/>
          <w:szCs w:val="21"/>
        </w:rPr>
        <w:tab/>
        <w:t>Who is the target audience of this report?</w:t>
      </w:r>
    </w:p>
    <w:p w14:paraId="0000006E" w14:textId="77777777" w:rsidR="00AC267B" w:rsidRDefault="00000000">
      <w:pPr>
        <w:widowControl w:val="0"/>
        <w:pBdr>
          <w:top w:val="nil"/>
          <w:left w:val="nil"/>
          <w:bottom w:val="nil"/>
          <w:right w:val="nil"/>
          <w:between w:val="nil"/>
        </w:pBdr>
        <w:tabs>
          <w:tab w:val="right" w:pos="480"/>
        </w:tabs>
        <w:spacing w:after="0"/>
        <w:ind w:left="600" w:hanging="300"/>
        <w:jc w:val="both"/>
        <w:rPr>
          <w:rFonts w:ascii="Palatino" w:eastAsia="Palatino" w:hAnsi="Palatino" w:cs="Palatino"/>
          <w:color w:val="000000"/>
          <w:sz w:val="21"/>
          <w:szCs w:val="21"/>
        </w:rPr>
      </w:pPr>
      <w:r>
        <w:rPr>
          <w:rFonts w:ascii="Palatino" w:eastAsia="Palatino" w:hAnsi="Palatino" w:cs="Palatino"/>
          <w:color w:val="000000"/>
          <w:sz w:val="21"/>
          <w:szCs w:val="21"/>
        </w:rPr>
        <w:tab/>
        <w:t>2.</w:t>
      </w:r>
      <w:r>
        <w:rPr>
          <w:rFonts w:ascii="Palatino" w:eastAsia="Palatino" w:hAnsi="Palatino" w:cs="Palatino"/>
          <w:color w:val="000000"/>
          <w:sz w:val="21"/>
          <w:szCs w:val="21"/>
        </w:rPr>
        <w:tab/>
        <w:t>What do you think is the intended message?</w:t>
      </w:r>
    </w:p>
    <w:p w14:paraId="0000006F" w14:textId="77777777" w:rsidR="00AC267B" w:rsidRDefault="00000000">
      <w:pPr>
        <w:widowControl w:val="0"/>
        <w:pBdr>
          <w:top w:val="nil"/>
          <w:left w:val="nil"/>
          <w:bottom w:val="nil"/>
          <w:right w:val="nil"/>
          <w:between w:val="nil"/>
        </w:pBdr>
        <w:tabs>
          <w:tab w:val="right" w:pos="480"/>
        </w:tabs>
        <w:spacing w:after="0"/>
        <w:ind w:left="600" w:hanging="300"/>
        <w:jc w:val="both"/>
        <w:rPr>
          <w:rFonts w:ascii="Palatino" w:eastAsia="Palatino" w:hAnsi="Palatino" w:cs="Palatino"/>
          <w:color w:val="000000"/>
          <w:sz w:val="21"/>
          <w:szCs w:val="21"/>
        </w:rPr>
      </w:pPr>
      <w:r>
        <w:rPr>
          <w:rFonts w:ascii="Palatino" w:eastAsia="Palatino" w:hAnsi="Palatino" w:cs="Palatino"/>
          <w:color w:val="000000"/>
          <w:sz w:val="21"/>
          <w:szCs w:val="21"/>
        </w:rPr>
        <w:tab/>
        <w:t>3.</w:t>
      </w:r>
      <w:r>
        <w:rPr>
          <w:rFonts w:ascii="Palatino" w:eastAsia="Palatino" w:hAnsi="Palatino" w:cs="Palatino"/>
          <w:color w:val="000000"/>
          <w:sz w:val="21"/>
          <w:szCs w:val="21"/>
        </w:rPr>
        <w:tab/>
        <w:t>Is the message successful?</w:t>
      </w:r>
    </w:p>
    <w:p w14:paraId="00000070" w14:textId="77777777" w:rsidR="00AC267B" w:rsidRDefault="00AC267B"/>
    <w:p w14:paraId="00000071" w14:textId="77777777" w:rsidR="00AC267B" w:rsidRDefault="00000000">
      <w:r>
        <w:t>Review the website of the New Americans Campaign:</w:t>
      </w:r>
    </w:p>
    <w:p w14:paraId="00000072" w14:textId="77777777" w:rsidR="00AC267B" w:rsidRDefault="00000000">
      <w:hyperlink r:id="rId60">
        <w:r>
          <w:rPr>
            <w:color w:val="467886"/>
            <w:u w:val="single"/>
          </w:rPr>
          <w:t>https://www.newamericanscampaign.org/</w:t>
        </w:r>
      </w:hyperlink>
    </w:p>
    <w:p w14:paraId="00000073" w14:textId="77777777" w:rsidR="00AC267B" w:rsidRDefault="00AC267B"/>
    <w:p w14:paraId="00000074" w14:textId="77777777" w:rsidR="00AC267B" w:rsidRDefault="00000000">
      <w:r>
        <w:t>On page 228, prior to the discussion on Expatriation and Renunciation, read this case:</w:t>
      </w:r>
    </w:p>
    <w:p w14:paraId="00000075" w14:textId="77777777" w:rsidR="00AC267B" w:rsidRDefault="00000000">
      <w:pPr>
        <w:widowControl w:val="0"/>
        <w:pBdr>
          <w:top w:val="single" w:sz="4" w:space="28" w:color="A73439"/>
          <w:left w:val="nil"/>
          <w:bottom w:val="nil"/>
          <w:right w:val="nil"/>
          <w:between w:val="nil"/>
        </w:pBdr>
        <w:tabs>
          <w:tab w:val="left" w:pos="300"/>
        </w:tabs>
        <w:spacing w:before="480" w:after="0"/>
        <w:jc w:val="center"/>
        <w:rPr>
          <w:rFonts w:ascii="Palatino" w:eastAsia="Palatino" w:hAnsi="Palatino" w:cs="Palatino"/>
          <w:i/>
          <w:iCs/>
          <w:color w:val="000000"/>
          <w:sz w:val="25"/>
          <w:szCs w:val="25"/>
        </w:rPr>
      </w:pPr>
      <w:r>
        <w:rPr>
          <w:rFonts w:ascii="Palatino" w:eastAsia="Palatino" w:hAnsi="Palatino" w:cs="Palatino"/>
          <w:i/>
          <w:iCs/>
          <w:color w:val="000000"/>
          <w:sz w:val="25"/>
          <w:szCs w:val="25"/>
        </w:rPr>
        <w:t>United States v. Odeh</w:t>
      </w:r>
    </w:p>
    <w:p w14:paraId="00000076" w14:textId="77777777" w:rsidR="00AC267B" w:rsidRDefault="00000000">
      <w:pPr>
        <w:widowControl w:val="0"/>
        <w:pBdr>
          <w:top w:val="nil"/>
          <w:left w:val="nil"/>
          <w:bottom w:val="nil"/>
          <w:right w:val="nil"/>
          <w:between w:val="nil"/>
        </w:pBdr>
        <w:tabs>
          <w:tab w:val="left" w:pos="300"/>
        </w:tabs>
        <w:spacing w:after="180"/>
        <w:jc w:val="center"/>
        <w:rPr>
          <w:rFonts w:ascii="Open Sans" w:eastAsia="Open Sans" w:hAnsi="Open Sans" w:cs="Open Sans"/>
          <w:color w:val="000000"/>
          <w:sz w:val="19"/>
          <w:szCs w:val="19"/>
        </w:rPr>
      </w:pPr>
      <w:r>
        <w:rPr>
          <w:rFonts w:ascii="Open Sans" w:eastAsia="Open Sans" w:hAnsi="Open Sans" w:cs="Open Sans"/>
          <w:color w:val="000000"/>
          <w:sz w:val="19"/>
          <w:szCs w:val="19"/>
        </w:rPr>
        <w:t>815 F.3d 968 (6th Cir. 2016)</w:t>
      </w:r>
    </w:p>
    <w:p w14:paraId="00000077"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smallCaps/>
          <w:color w:val="000000"/>
          <w:sz w:val="21"/>
          <w:szCs w:val="21"/>
        </w:rPr>
        <w:t>Rogers</w:t>
      </w:r>
      <w:r>
        <w:rPr>
          <w:rFonts w:ascii="Palatino" w:eastAsia="Palatino" w:hAnsi="Palatino" w:cs="Palatino"/>
          <w:color w:val="000000"/>
          <w:sz w:val="21"/>
          <w:szCs w:val="21"/>
        </w:rPr>
        <w:t>, Circuit Judge.</w:t>
      </w:r>
    </w:p>
    <w:p w14:paraId="00000078"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proofErr w:type="spellStart"/>
      <w:r>
        <w:rPr>
          <w:rFonts w:ascii="Palatino" w:eastAsia="Palatino" w:hAnsi="Palatino" w:cs="Palatino"/>
          <w:color w:val="000000"/>
          <w:sz w:val="21"/>
          <w:szCs w:val="21"/>
        </w:rPr>
        <w:t>Rasmieh</w:t>
      </w:r>
      <w:proofErr w:type="spellEnd"/>
      <w:r>
        <w:rPr>
          <w:rFonts w:ascii="Palatino" w:eastAsia="Palatino" w:hAnsi="Palatino" w:cs="Palatino"/>
          <w:color w:val="000000"/>
          <w:sz w:val="21"/>
          <w:szCs w:val="21"/>
        </w:rPr>
        <w:t xml:space="preserve"> Odeh appeals the judgment entering her conviction and sentence for violating 18 U.S.C. §1425(a), which criminalizes knowingly procuring naturalization contrary to law. Odeh was convicted by a jury in November 2014 for making false statements in her naturalization application and to an </w:t>
      </w:r>
      <w:r>
        <w:rPr>
          <w:rFonts w:ascii="Palatino" w:eastAsia="Palatino" w:hAnsi="Palatino" w:cs="Palatino"/>
          <w:color w:val="000000"/>
          <w:sz w:val="21"/>
          <w:szCs w:val="21"/>
        </w:rPr>
        <w:lastRenderedPageBreak/>
        <w:t>immigration officer. The prosecution was based on Odeh’s statements, among others, that she had never been arrested, convicted, or imprisoned, even though she was arrested, convicted, and imprisoned in Israel in 1969-1970 for her role in the bombing of a supermarket and an attempted bombing of the British Consulate.</w:t>
      </w:r>
    </w:p>
    <w:p w14:paraId="00000079"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On appeal, Odeh’s primary argument is that she was denied the right to present a complete defense because the district court precluded her witness, an expert in post-traumatic stress disorder (PTSD), from testifying about why Odeh did not know that her statements were false. Odeh maintains that the expert would have testified that Odeh’s alleged torture in an Israeli prison gave her PTSD, which shaped the way that she viewed questions about her criminal history in the naturalization application. Because this type of testimony is not categorically inadmissible to negate a defendant’s knowledge of the falsity of a statement, the district court must reconsider the admissibility of the testimony. Odeh’s remaining objections to other evidentiary rulings and the reasonableness of her sentence are without merit.</w:t>
      </w:r>
    </w:p>
    <w:p w14:paraId="0000007A"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In October 2013, Odeh was charged in a single-count indictment with violating 18 U.S.C. §1425(a), the criminal denaturalization statute. Section 1425(a) provides that “[w]</w:t>
      </w:r>
      <w:proofErr w:type="spellStart"/>
      <w:r>
        <w:rPr>
          <w:rFonts w:ascii="Palatino" w:eastAsia="Palatino" w:hAnsi="Palatino" w:cs="Palatino"/>
          <w:color w:val="000000"/>
          <w:sz w:val="21"/>
          <w:szCs w:val="21"/>
        </w:rPr>
        <w:t>hoever</w:t>
      </w:r>
      <w:proofErr w:type="spellEnd"/>
      <w:r>
        <w:rPr>
          <w:rFonts w:ascii="Palatino" w:eastAsia="Palatino" w:hAnsi="Palatino" w:cs="Palatino"/>
          <w:color w:val="000000"/>
          <w:sz w:val="21"/>
          <w:szCs w:val="21"/>
        </w:rPr>
        <w:t xml:space="preserve"> knowingly procures or attempts to procure, contrary to law, the naturalization of any person” shall be fined or imprisoned. The indictment alleges that Odeh “procured her citizenship despite her criminal history and despite her having made . . . </w:t>
      </w:r>
      <w:proofErr w:type="gramStart"/>
      <w:r>
        <w:rPr>
          <w:rFonts w:ascii="Palatino" w:eastAsia="Palatino" w:hAnsi="Palatino" w:cs="Palatino"/>
          <w:color w:val="000000"/>
          <w:sz w:val="21"/>
          <w:szCs w:val="21"/>
        </w:rPr>
        <w:t>material</w:t>
      </w:r>
      <w:proofErr w:type="gramEnd"/>
      <w:r>
        <w:rPr>
          <w:rFonts w:ascii="Palatino" w:eastAsia="Palatino" w:hAnsi="Palatino" w:cs="Palatino"/>
          <w:color w:val="000000"/>
          <w:sz w:val="21"/>
          <w:szCs w:val="21"/>
        </w:rPr>
        <w:t xml:space="preserve"> false statements” related to her criminal history and to the truth of the statements in her immigrant visa application. The elements of the §1425(a) violation, according to the district court’s jury instruction, were that (1) Odeh was naturalized, (2) Odeh made a false statement in her naturalization application or during her naturalization interview, (3) Odeh knew the falsity of the statement, (4) the statement was material, and (5) Odeh procured citizenship as a result of the false statement, meaning that without the statement, her application would have been denied. After a jury convicted Odeh, the district court revoked Odeh’s citizenship, as is required by 8 U.S.C. §1451(e), and sentenced her to eighteen months’ imprisonment.</w:t>
      </w:r>
    </w:p>
    <w:p w14:paraId="0000007B"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The Government’s case was based on false statements that Odeh made in her naturalization application, to a federal immigration officer who interviewed Odeh after she submitted her naturalization application, and in her application for an immigrant visa. Odeh does not dispute that her statements were false. Odeh’s immigration history and criminal history before moving to the United States are briefly described as follows.</w:t>
      </w:r>
    </w:p>
    <w:p w14:paraId="0000007C"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In 1994, Odeh submitted an immigrant visa application to the United States State Department in Amman, Jordan. On the application, Odeh stated that she had continuously lived in Amman since 1948. Odeh also answered “No” in response to the questions of whether she had “ever been arrested, convicted, or ever been in a prison,” whether she had been convicted of “a crime involving moral turpitude,” and whether she had been “convicted of 2 or more offenses for which the aggregate sentences were 5 years or more.” These answers were false. Odeh lived in both Israel and Lebanon before moving to Jordan in 1983. In 1969 and 1970, Odeh was arrested in Israel, charged by a military indictment, and convicted on several charges by a military court for her role in a bombing in a supermarket that killed two civilians and wounded others, and for her role in an attempted bombing of the British Consulate. One of Odeh’s convictions related to her membership in the Popular Front for the Liberation of Palestine, which was designated a “foreign terrorist organization” by the United States Secretary of State in 1997. Odeh received two life sentences and served ten years in prison before being released in 1979 in a prisoner exchange. The State Department did not discover any of the false </w:t>
      </w:r>
      <w:r>
        <w:rPr>
          <w:rFonts w:ascii="Palatino" w:eastAsia="Palatino" w:hAnsi="Palatino" w:cs="Palatino"/>
          <w:color w:val="000000"/>
          <w:sz w:val="21"/>
          <w:szCs w:val="21"/>
        </w:rPr>
        <w:lastRenderedPageBreak/>
        <w:t>statements and granted Odeh’s visa.</w:t>
      </w:r>
    </w:p>
    <w:p w14:paraId="0000007D"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Following the visa approval, Odeh lived in the United States for approximately ten years before applying for citizenship in 2004. On the naturalization application, questions related to criminal history began with the phrase “Have you </w:t>
      </w:r>
      <w:r>
        <w:rPr>
          <w:rFonts w:ascii="Palatino" w:eastAsia="Palatino" w:hAnsi="Palatino" w:cs="Palatino"/>
          <w:b/>
          <w:bCs/>
          <w:color w:val="000000"/>
          <w:sz w:val="21"/>
          <w:szCs w:val="21"/>
        </w:rPr>
        <w:t>EVER</w:t>
      </w:r>
      <w:r>
        <w:rPr>
          <w:rFonts w:ascii="Palatino" w:eastAsia="Palatino" w:hAnsi="Palatino" w:cs="Palatino"/>
          <w:color w:val="000000"/>
          <w:sz w:val="21"/>
          <w:szCs w:val="21"/>
        </w:rPr>
        <w:t xml:space="preserve">.” The word “ever” was capitalized and in bold in each question. As an example, one question asked: “Have you </w:t>
      </w:r>
      <w:r>
        <w:rPr>
          <w:rFonts w:ascii="Palatino" w:eastAsia="Palatino" w:hAnsi="Palatino" w:cs="Palatino"/>
          <w:b/>
          <w:bCs/>
          <w:color w:val="000000"/>
          <w:sz w:val="21"/>
          <w:szCs w:val="21"/>
        </w:rPr>
        <w:t>EVER</w:t>
      </w:r>
      <w:r>
        <w:rPr>
          <w:rFonts w:ascii="Palatino" w:eastAsia="Palatino" w:hAnsi="Palatino" w:cs="Palatino"/>
          <w:color w:val="000000"/>
          <w:sz w:val="21"/>
          <w:szCs w:val="21"/>
        </w:rPr>
        <w:t xml:space="preserve"> been charged with committing any crime or offense?” Other questions in the same format asked about prior arrests, convictions, and prison sentences. Odeh falsely answered “No” to each of these questions. Odeh also falsely answered “No” in response to questions asking whether she had “</w:t>
      </w:r>
      <w:r>
        <w:rPr>
          <w:rFonts w:ascii="Palatino" w:eastAsia="Palatino" w:hAnsi="Palatino" w:cs="Palatino"/>
          <w:b/>
          <w:bCs/>
          <w:color w:val="000000"/>
          <w:sz w:val="21"/>
          <w:szCs w:val="21"/>
        </w:rPr>
        <w:t>EVER</w:t>
      </w:r>
      <w:r>
        <w:rPr>
          <w:rFonts w:ascii="Palatino" w:eastAsia="Palatino" w:hAnsi="Palatino" w:cs="Palatino"/>
          <w:color w:val="000000"/>
          <w:sz w:val="21"/>
          <w:szCs w:val="21"/>
        </w:rPr>
        <w:t xml:space="preserve"> given false or misleading information to any U.S. government official while applying for any immigration benefit” and whether she had “</w:t>
      </w:r>
      <w:r>
        <w:rPr>
          <w:rFonts w:ascii="Palatino" w:eastAsia="Palatino" w:hAnsi="Palatino" w:cs="Palatino"/>
          <w:b/>
          <w:bCs/>
          <w:color w:val="000000"/>
          <w:sz w:val="21"/>
          <w:szCs w:val="21"/>
        </w:rPr>
        <w:t>EVER</w:t>
      </w:r>
      <w:r>
        <w:rPr>
          <w:rFonts w:ascii="Palatino" w:eastAsia="Palatino" w:hAnsi="Palatino" w:cs="Palatino"/>
          <w:color w:val="000000"/>
          <w:sz w:val="21"/>
          <w:szCs w:val="21"/>
        </w:rPr>
        <w:t xml:space="preserve"> lied to any U.S. immigration official to gain entry or admission into the United States.”</w:t>
      </w:r>
    </w:p>
    <w:p w14:paraId="0000007E"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After submitting the application, Odeh was interviewed by an immigration officer with the Department of Homeland Security, Jennifer Williams. Williams verbally repeated each question on Odeh’s application and confirmed that Odeh’s original answers were correct. Williams testified at trial that pursuant to her department’s policy, in every interview, she added the phrase “anywhere in the world” at the end of every criminal history question. Williams thus testified that instead of asking, for example, whether Odeh had ever been charged with committing any crime, she asked whether Odeh had ever been charged with committing any crime anywhere in the world. Odeh did not change any of her answers related to her criminal history. Her naturalization application was approved and she worked as a community organizer with the Arab-American Action Network for the next ten years, providing services for immigrant women. At trial, a </w:t>
      </w:r>
      <w:proofErr w:type="gramStart"/>
      <w:r>
        <w:rPr>
          <w:rFonts w:ascii="Palatino" w:eastAsia="Palatino" w:hAnsi="Palatino" w:cs="Palatino"/>
          <w:color w:val="000000"/>
          <w:sz w:val="21"/>
          <w:szCs w:val="21"/>
        </w:rPr>
        <w:t>Government</w:t>
      </w:r>
      <w:proofErr w:type="gramEnd"/>
      <w:r>
        <w:rPr>
          <w:rFonts w:ascii="Palatino" w:eastAsia="Palatino" w:hAnsi="Palatino" w:cs="Palatino"/>
          <w:color w:val="000000"/>
          <w:sz w:val="21"/>
          <w:szCs w:val="21"/>
        </w:rPr>
        <w:t xml:space="preserve"> witness testified that if Odeh had been truthful on her application or in her interview, she would have been ineligible for citizenship due to false statements on her immigrant visa application and a statutory bar prohibiting entry to anyone who has engaged in a “terrorist activity.” </w:t>
      </w:r>
      <w:r>
        <w:rPr>
          <w:rFonts w:ascii="Palatino" w:eastAsia="Palatino" w:hAnsi="Palatino" w:cs="Palatino"/>
          <w:i/>
          <w:iCs/>
          <w:color w:val="000000"/>
          <w:sz w:val="21"/>
          <w:szCs w:val="21"/>
        </w:rPr>
        <w:t>See</w:t>
      </w:r>
      <w:r>
        <w:rPr>
          <w:rFonts w:ascii="Palatino" w:eastAsia="Palatino" w:hAnsi="Palatino" w:cs="Palatino"/>
          <w:color w:val="000000"/>
          <w:sz w:val="21"/>
          <w:szCs w:val="21"/>
        </w:rPr>
        <w:t xml:space="preserve"> 8 U.S.C. §1101(f)(6) (providing that any person “who has given false testimony for the purpose of obtaining any [immigration] benefits” is not of good moral character); §1182(a)(3)(B)(</w:t>
      </w:r>
      <w:proofErr w:type="spellStart"/>
      <w:r>
        <w:rPr>
          <w:rFonts w:ascii="Palatino" w:eastAsia="Palatino" w:hAnsi="Palatino" w:cs="Palatino"/>
          <w:color w:val="000000"/>
          <w:sz w:val="21"/>
          <w:szCs w:val="21"/>
        </w:rPr>
        <w:t>i</w:t>
      </w:r>
      <w:proofErr w:type="spellEnd"/>
      <w:r>
        <w:rPr>
          <w:rFonts w:ascii="Palatino" w:eastAsia="Palatino" w:hAnsi="Palatino" w:cs="Palatino"/>
          <w:color w:val="000000"/>
          <w:sz w:val="21"/>
          <w:szCs w:val="21"/>
        </w:rPr>
        <w:t>)(I) (rendering ineligible for admission foreigners who “ha[</w:t>
      </w:r>
      <w:proofErr w:type="spellStart"/>
      <w:r>
        <w:rPr>
          <w:rFonts w:ascii="Palatino" w:eastAsia="Palatino" w:hAnsi="Palatino" w:cs="Palatino"/>
          <w:color w:val="000000"/>
          <w:sz w:val="21"/>
          <w:szCs w:val="21"/>
        </w:rPr>
        <w:t>ve</w:t>
      </w:r>
      <w:proofErr w:type="spellEnd"/>
      <w:r>
        <w:rPr>
          <w:rFonts w:ascii="Palatino" w:eastAsia="Palatino" w:hAnsi="Palatino" w:cs="Palatino"/>
          <w:color w:val="000000"/>
          <w:sz w:val="21"/>
          <w:szCs w:val="21"/>
        </w:rPr>
        <w:t>] engaged in a terrorist activity”); §1182(a)(3)(B)(iii)(V) (defining terrorist activity).</w:t>
      </w:r>
    </w:p>
    <w:p w14:paraId="0000007F"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At trial, the Government introduced Israeli documents from 1969-1975 related to Odeh’s arrest, indictment, convictions, and sentence. The Government used the documents to prove the falsity and materiality of Odeh’s statements, her knowledge of their falsity, and that she procured citizenship because of the statements. These documents were admitted under a mutual legal assistance treaty between the United States and Israel. </w:t>
      </w:r>
      <w:r>
        <w:rPr>
          <w:rFonts w:ascii="Palatino" w:eastAsia="Palatino" w:hAnsi="Palatino" w:cs="Palatino"/>
          <w:i/>
          <w:iCs/>
          <w:color w:val="000000"/>
          <w:sz w:val="21"/>
          <w:szCs w:val="21"/>
        </w:rPr>
        <w:t>See</w:t>
      </w:r>
      <w:r>
        <w:rPr>
          <w:rFonts w:ascii="Palatino" w:eastAsia="Palatino" w:hAnsi="Palatino" w:cs="Palatino"/>
          <w:color w:val="000000"/>
          <w:sz w:val="21"/>
          <w:szCs w:val="21"/>
        </w:rPr>
        <w:t xml:space="preserve"> Treaty Between the Government of the United States of America and the Government of the State of Israel on Mutual Assistance in Criminal Matters, U.S.-Isr., Jan. 26, 1998, T.I.A.S. No. 12925 [hereinafter MLAT]. The MLAT provides, in pertinent part, that a requesting state may request “copies of any documents, records, or information which are in the possession of a government department or agency of </w:t>
      </w:r>
      <w:proofErr w:type="spellStart"/>
      <w:proofErr w:type="gramStart"/>
      <w:r>
        <w:rPr>
          <w:rFonts w:ascii="Palatino" w:eastAsia="Palatino" w:hAnsi="Palatino" w:cs="Palatino"/>
          <w:color w:val="000000"/>
          <w:sz w:val="21"/>
          <w:szCs w:val="21"/>
        </w:rPr>
        <w:t>th</w:t>
      </w:r>
      <w:proofErr w:type="spellEnd"/>
      <w:r>
        <w:rPr>
          <w:rFonts w:ascii="Palatino" w:eastAsia="Palatino" w:hAnsi="Palatino" w:cs="Palatino"/>
          <w:color w:val="000000"/>
          <w:sz w:val="21"/>
          <w:szCs w:val="21"/>
        </w:rPr>
        <w:t>[</w:t>
      </w:r>
      <w:proofErr w:type="gramEnd"/>
      <w:r>
        <w:rPr>
          <w:rFonts w:ascii="Palatino" w:eastAsia="Palatino" w:hAnsi="Palatino" w:cs="Palatino"/>
          <w:color w:val="000000"/>
          <w:sz w:val="21"/>
          <w:szCs w:val="21"/>
        </w:rPr>
        <w:t xml:space="preserve">e requested] State but which are not publicly available.” </w:t>
      </w:r>
      <w:r>
        <w:rPr>
          <w:rFonts w:ascii="Palatino" w:eastAsia="Palatino" w:hAnsi="Palatino" w:cs="Palatino"/>
          <w:i/>
          <w:iCs/>
          <w:color w:val="000000"/>
          <w:sz w:val="21"/>
          <w:szCs w:val="21"/>
        </w:rPr>
        <w:t>Id.</w:t>
      </w:r>
      <w:r>
        <w:rPr>
          <w:rFonts w:ascii="Palatino" w:eastAsia="Palatino" w:hAnsi="Palatino" w:cs="Palatino"/>
          <w:color w:val="000000"/>
          <w:sz w:val="21"/>
          <w:szCs w:val="21"/>
        </w:rPr>
        <w:t xml:space="preserve"> art. IX, ¶2. The MLAT also provides that where there is an appropriate authentication by the requested state, “[n]o further authentication or certification shall be necessary in order for such records to be admissible” in United States court proceedings. </w:t>
      </w:r>
      <w:r>
        <w:rPr>
          <w:rFonts w:ascii="Palatino" w:eastAsia="Palatino" w:hAnsi="Palatino" w:cs="Palatino"/>
          <w:i/>
          <w:iCs/>
          <w:color w:val="000000"/>
          <w:sz w:val="21"/>
          <w:szCs w:val="21"/>
        </w:rPr>
        <w:t>Id.</w:t>
      </w:r>
    </w:p>
    <w:p w14:paraId="00000080"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In pretrial motions, Odeh opposed admitting the Israeli documents on the basis that the Israeli military court system “does not operate in accordance with fundamental fairness, due process or international law,” because, she alleged, the Israeli presence in the West Bank in 1969 was illegal and the Israeli military systematically tortured Palestinians. Odeh asserted that her confession to the bombing was the result of severe torture by the Israeli military for over twenty-five days, including </w:t>
      </w:r>
      <w:r>
        <w:rPr>
          <w:rFonts w:ascii="Palatino" w:eastAsia="Palatino" w:hAnsi="Palatino" w:cs="Palatino"/>
          <w:color w:val="000000"/>
          <w:sz w:val="21"/>
          <w:szCs w:val="21"/>
        </w:rPr>
        <w:lastRenderedPageBreak/>
        <w:t>beatings, electric shocks, and rape. Odeh also asked the district court to order the Government to stipulate that Odeh had been convicted and imprisoned for a “serious offense,” in lieu of admitting the Israeli documents. In the alternative, Odeh asked the court to redact language in the Israeli indictment related to the details of the charges. The court admitted the documents over Odeh’s objections, reasoning that the fairness of the Israeli court system was irrelevant, the documents were not unduly prejudicial, and the Government was entitled to prove the elements of the offense without accepting a stipulation.</w:t>
      </w:r>
    </w:p>
    <w:p w14:paraId="00000081"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Besides the evidentiary objections, Odeh also argued that §1425(a) is a specific intent crime and that the Government must therefore prove that Odeh had a “bad purpose” in providing false answers. Characterizing the crime as a specific intent crime was said to be important to Odeh’s defense, which was that when reading the questions on the naturalization application and hearing the questions from Williams, she believed that the questions referred only to her time in the United States. In support of this theory, Odeh intended to call as a witness Dr. Mary Fabri, a clinical psychologist who specializes in the treatment of torture survivors. Dr. Fabri purportedly would have testified that Odeh’s torture gave her chronic PTSD and that this disorder operated to automatically filter out Odeh’s time in Israel, causing Odeh to interpret questions so as to avoid any thought of her trauma. Dr. Fabri would have thus testified that Odeh employed a protective mechanism that narrowed her focus in reading and hearing the criminal history questions. The district court initially ruled that §1425(a) is a specific intent crime and that Dr. Fabri’s testimony was therefore potentially admissible — after an evidentiary hearing — as to Odeh’s </w:t>
      </w:r>
      <w:proofErr w:type="spellStart"/>
      <w:r>
        <w:rPr>
          <w:rFonts w:ascii="Palatino" w:eastAsia="Palatino" w:hAnsi="Palatino" w:cs="Palatino"/>
          <w:color w:val="000000"/>
          <w:sz w:val="21"/>
          <w:szCs w:val="21"/>
        </w:rPr>
        <w:t>mens</w:t>
      </w:r>
      <w:proofErr w:type="spellEnd"/>
      <w:r>
        <w:rPr>
          <w:rFonts w:ascii="Palatino" w:eastAsia="Palatino" w:hAnsi="Palatino" w:cs="Palatino"/>
          <w:color w:val="000000"/>
          <w:sz w:val="21"/>
          <w:szCs w:val="21"/>
        </w:rPr>
        <w:t xml:space="preserve"> rea. Upon reexamination of the issue, however, the court reversed itself, holding that §1425(a) is a general intent crime. The court concluded:</w:t>
      </w:r>
    </w:p>
    <w:p w14:paraId="00000082" w14:textId="77777777" w:rsidR="00AC267B" w:rsidRDefault="00000000">
      <w:pPr>
        <w:widowControl w:val="0"/>
        <w:pBdr>
          <w:top w:val="nil"/>
          <w:left w:val="nil"/>
          <w:bottom w:val="nil"/>
          <w:right w:val="nil"/>
          <w:between w:val="nil"/>
        </w:pBdr>
        <w:tabs>
          <w:tab w:val="left" w:pos="600"/>
        </w:tabs>
        <w:spacing w:before="120" w:after="120"/>
        <w:ind w:left="300" w:right="300"/>
        <w:jc w:val="both"/>
        <w:rPr>
          <w:rFonts w:ascii="Palatino" w:eastAsia="Palatino" w:hAnsi="Palatino" w:cs="Palatino"/>
          <w:color w:val="000000"/>
          <w:sz w:val="19"/>
          <w:szCs w:val="19"/>
        </w:rPr>
      </w:pPr>
      <w:r>
        <w:rPr>
          <w:rFonts w:ascii="Palatino" w:eastAsia="Palatino" w:hAnsi="Palatino" w:cs="Palatino"/>
          <w:color w:val="000000"/>
          <w:sz w:val="19"/>
          <w:szCs w:val="19"/>
        </w:rPr>
        <w:t xml:space="preserve">[T]he Court must reconsider its earlier decision and now holds that §1425 is not a specific intent crime. The Government must therefore only establish that Defendant made a false statement on her Naturalization Application knowing it to be a false statement. In light of the Court’s decision concerning the </w:t>
      </w:r>
      <w:proofErr w:type="spellStart"/>
      <w:r>
        <w:rPr>
          <w:rFonts w:ascii="Palatino" w:eastAsia="Palatino" w:hAnsi="Palatino" w:cs="Palatino"/>
          <w:i/>
          <w:iCs/>
          <w:color w:val="000000"/>
          <w:sz w:val="19"/>
          <w:szCs w:val="19"/>
        </w:rPr>
        <w:t>mens</w:t>
      </w:r>
      <w:proofErr w:type="spellEnd"/>
      <w:r>
        <w:rPr>
          <w:rFonts w:ascii="Palatino" w:eastAsia="Palatino" w:hAnsi="Palatino" w:cs="Palatino"/>
          <w:i/>
          <w:iCs/>
          <w:color w:val="000000"/>
          <w:sz w:val="19"/>
          <w:szCs w:val="19"/>
        </w:rPr>
        <w:t xml:space="preserve"> rea</w:t>
      </w:r>
      <w:r>
        <w:rPr>
          <w:rFonts w:ascii="Palatino" w:eastAsia="Palatino" w:hAnsi="Palatino" w:cs="Palatino"/>
          <w:color w:val="000000"/>
          <w:sz w:val="19"/>
          <w:szCs w:val="19"/>
        </w:rPr>
        <w:t xml:space="preserve"> required for proving a violation of §1425, the Court must deny Defendant’s Motion for Offer of Proof, which seeks to admit the testimony of a clinical psychologist concerning her conclusions with respect to Defendant’s defense related to post-traumatic stress disorder. It is well settled that this type of defense is inadmissible to negate the </w:t>
      </w:r>
      <w:proofErr w:type="spellStart"/>
      <w:r>
        <w:rPr>
          <w:rFonts w:ascii="Palatino" w:eastAsia="Palatino" w:hAnsi="Palatino" w:cs="Palatino"/>
          <w:i/>
          <w:iCs/>
          <w:color w:val="000000"/>
          <w:sz w:val="19"/>
          <w:szCs w:val="19"/>
        </w:rPr>
        <w:t>mens</w:t>
      </w:r>
      <w:proofErr w:type="spellEnd"/>
      <w:r>
        <w:rPr>
          <w:rFonts w:ascii="Palatino" w:eastAsia="Palatino" w:hAnsi="Palatino" w:cs="Palatino"/>
          <w:i/>
          <w:iCs/>
          <w:color w:val="000000"/>
          <w:sz w:val="19"/>
          <w:szCs w:val="19"/>
        </w:rPr>
        <w:t xml:space="preserve"> rea</w:t>
      </w:r>
      <w:r>
        <w:rPr>
          <w:rFonts w:ascii="Palatino" w:eastAsia="Palatino" w:hAnsi="Palatino" w:cs="Palatino"/>
          <w:color w:val="000000"/>
          <w:sz w:val="19"/>
          <w:szCs w:val="19"/>
        </w:rPr>
        <w:t xml:space="preserve"> of a general intent crime, thus the expert’s testimony is irrelevant to the issues herein and inadmissible at trial. </w:t>
      </w:r>
      <w:r>
        <w:rPr>
          <w:rFonts w:ascii="Palatino" w:eastAsia="Palatino" w:hAnsi="Palatino" w:cs="Palatino"/>
          <w:i/>
          <w:iCs/>
          <w:color w:val="000000"/>
          <w:sz w:val="19"/>
          <w:szCs w:val="19"/>
        </w:rPr>
        <w:t>United States v. Kimes</w:t>
      </w:r>
      <w:r>
        <w:rPr>
          <w:rFonts w:ascii="Palatino" w:eastAsia="Palatino" w:hAnsi="Palatino" w:cs="Palatino"/>
          <w:color w:val="000000"/>
          <w:sz w:val="19"/>
          <w:szCs w:val="19"/>
        </w:rPr>
        <w:t xml:space="preserve">, 246 F.3d 800, 806 (6th Cir. 2001); </w:t>
      </w:r>
      <w:r>
        <w:rPr>
          <w:rFonts w:ascii="Palatino" w:eastAsia="Palatino" w:hAnsi="Palatino" w:cs="Palatino"/>
          <w:i/>
          <w:iCs/>
          <w:color w:val="000000"/>
          <w:sz w:val="19"/>
          <w:szCs w:val="19"/>
        </w:rPr>
        <w:t xml:space="preserve">United States v. </w:t>
      </w:r>
      <w:proofErr w:type="spellStart"/>
      <w:r>
        <w:rPr>
          <w:rFonts w:ascii="Palatino" w:eastAsia="Palatino" w:hAnsi="Palatino" w:cs="Palatino"/>
          <w:i/>
          <w:iCs/>
          <w:color w:val="000000"/>
          <w:sz w:val="19"/>
          <w:szCs w:val="19"/>
        </w:rPr>
        <w:t>Gonyea</w:t>
      </w:r>
      <w:proofErr w:type="spellEnd"/>
      <w:r>
        <w:rPr>
          <w:rFonts w:ascii="Palatino" w:eastAsia="Palatino" w:hAnsi="Palatino" w:cs="Palatino"/>
          <w:color w:val="000000"/>
          <w:sz w:val="19"/>
          <w:szCs w:val="19"/>
        </w:rPr>
        <w:t>, 140 F.3d 649, 651 (6th Cir. 1998).</w:t>
      </w:r>
    </w:p>
    <w:p w14:paraId="00000083"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Similarly, the court barred Odeh from testifying about her torture and PTSD.</w:t>
      </w:r>
    </w:p>
    <w:p w14:paraId="00000084"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Odeh appeals the district court’s judgment, challenging primarily the court’s exclusion of Dr. Fabri’s testimony. Odeh makes two related arguments for the testimony’s admissibility. First, she argues that the testimony is potentially admissible because §1425(a) is a specific intent crime. Second, she argues that even if the statute is a general intent crime, the district court should have nonetheless allowed her to introduce evidence suggesting that she did not know that her statements were false.</w:t>
      </w:r>
    </w:p>
    <w:p w14:paraId="00000085" w14:textId="77777777" w:rsidR="00AC267B" w:rsidRDefault="00000000">
      <w:pPr>
        <w:widowControl w:val="0"/>
        <w:pBdr>
          <w:top w:val="nil"/>
          <w:left w:val="nil"/>
          <w:bottom w:val="nil"/>
          <w:right w:val="nil"/>
          <w:between w:val="nil"/>
        </w:pBdr>
        <w:tabs>
          <w:tab w:val="left" w:pos="300"/>
        </w:tabs>
        <w:spacing w:before="180" w:after="120"/>
        <w:jc w:val="center"/>
        <w:rPr>
          <w:rFonts w:ascii="Palatino" w:eastAsia="Palatino" w:hAnsi="Palatino" w:cs="Palatino"/>
          <w:color w:val="000000"/>
          <w:sz w:val="22"/>
          <w:szCs w:val="22"/>
        </w:rPr>
      </w:pPr>
      <w:r>
        <w:rPr>
          <w:rFonts w:ascii="Palatino" w:eastAsia="Palatino" w:hAnsi="Palatino" w:cs="Palatino"/>
          <w:color w:val="000000"/>
          <w:sz w:val="22"/>
          <w:szCs w:val="22"/>
        </w:rPr>
        <w:t>I.</w:t>
      </w:r>
    </w:p>
    <w:p w14:paraId="00000086"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Regardless of whether 18 U.S.C. §1425(a) is a specific or general intent crime, Dr. Fabri’s proffered testimony is relevant to whether Odeh knew that her statements were false. The district court accordingly erred in categorically excluding this testimony. Section 1425(a) provides that “[w]</w:t>
      </w:r>
      <w:proofErr w:type="spellStart"/>
      <w:r>
        <w:rPr>
          <w:rFonts w:ascii="Palatino" w:eastAsia="Palatino" w:hAnsi="Palatino" w:cs="Palatino"/>
          <w:color w:val="000000"/>
          <w:sz w:val="21"/>
          <w:szCs w:val="21"/>
        </w:rPr>
        <w:t>hoever</w:t>
      </w:r>
      <w:proofErr w:type="spellEnd"/>
      <w:r>
        <w:rPr>
          <w:rFonts w:ascii="Palatino" w:eastAsia="Palatino" w:hAnsi="Palatino" w:cs="Palatino"/>
          <w:color w:val="000000"/>
          <w:sz w:val="21"/>
          <w:szCs w:val="21"/>
        </w:rPr>
        <w:t xml:space="preserve"> knowingly procures or attempts to procure, contrary to law, the naturalization of any person” shall be fined or imprisoned. To satisfy §1425(a)’s </w:t>
      </w:r>
      <w:proofErr w:type="spellStart"/>
      <w:r>
        <w:rPr>
          <w:rFonts w:ascii="Palatino" w:eastAsia="Palatino" w:hAnsi="Palatino" w:cs="Palatino"/>
          <w:color w:val="000000"/>
          <w:sz w:val="21"/>
          <w:szCs w:val="21"/>
        </w:rPr>
        <w:t>mens</w:t>
      </w:r>
      <w:proofErr w:type="spellEnd"/>
      <w:r>
        <w:rPr>
          <w:rFonts w:ascii="Palatino" w:eastAsia="Palatino" w:hAnsi="Palatino" w:cs="Palatino"/>
          <w:color w:val="000000"/>
          <w:sz w:val="21"/>
          <w:szCs w:val="21"/>
        </w:rPr>
        <w:t xml:space="preserve"> rea requirement, the parties agree that the </w:t>
      </w:r>
      <w:r>
        <w:rPr>
          <w:rFonts w:ascii="Palatino" w:eastAsia="Palatino" w:hAnsi="Palatino" w:cs="Palatino"/>
          <w:color w:val="000000"/>
          <w:sz w:val="21"/>
          <w:szCs w:val="21"/>
        </w:rPr>
        <w:lastRenderedPageBreak/>
        <w:t xml:space="preserve">Government must prove at least that Odeh knew that one of her statements was false. They also agree that if this is all that the Government must prove, §1425(a) is a general intent crime. The parties contest whether the Government must also prove why Odeh made the false statements; that is, whether Odeh had a “bad purpose” — the key feature of specific intent crimes — to commit the unlawful act of procuring citizenship by lying. The Government maintains that this specific/general intent distinction determines whether Dr. Fabri’s testimony is admissible. We need not decide, however, whether §1425(a) is a general or specific intent crime to conclude that Dr. Fabri’s testimony is not categorically barred by our decisions in </w:t>
      </w:r>
      <w:r>
        <w:rPr>
          <w:rFonts w:ascii="Palatino" w:eastAsia="Palatino" w:hAnsi="Palatino" w:cs="Palatino"/>
          <w:i/>
          <w:iCs/>
          <w:color w:val="000000"/>
          <w:sz w:val="21"/>
          <w:szCs w:val="21"/>
        </w:rPr>
        <w:t>Kimes</w:t>
      </w:r>
      <w:r>
        <w:rPr>
          <w:rFonts w:ascii="Palatino" w:eastAsia="Palatino" w:hAnsi="Palatino" w:cs="Palatino"/>
          <w:color w:val="000000"/>
          <w:sz w:val="21"/>
          <w:szCs w:val="21"/>
        </w:rPr>
        <w:t xml:space="preserve">, 246 F.3d 800, and </w:t>
      </w:r>
      <w:proofErr w:type="spellStart"/>
      <w:r>
        <w:rPr>
          <w:rFonts w:ascii="Palatino" w:eastAsia="Palatino" w:hAnsi="Palatino" w:cs="Palatino"/>
          <w:i/>
          <w:iCs/>
          <w:color w:val="000000"/>
          <w:sz w:val="21"/>
          <w:szCs w:val="21"/>
        </w:rPr>
        <w:t>Gonyea</w:t>
      </w:r>
      <w:proofErr w:type="spellEnd"/>
      <w:r>
        <w:rPr>
          <w:rFonts w:ascii="Palatino" w:eastAsia="Palatino" w:hAnsi="Palatino" w:cs="Palatino"/>
          <w:color w:val="000000"/>
          <w:sz w:val="21"/>
          <w:szCs w:val="21"/>
        </w:rPr>
        <w:t>, 140 F.3d 649. The rule that the Government derives from those decisions does not apply in this case.</w:t>
      </w:r>
    </w:p>
    <w:p w14:paraId="00000087"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Dr. Fabri’s testimony is potentially admissible because it is relevant to whether Odeh knew that her statements were false, which is an element of a §1425(a) prosecution. Because the Government must prove every element of a crime beyond a reasonable doubt, </w:t>
      </w:r>
      <w:r>
        <w:rPr>
          <w:rFonts w:ascii="Palatino" w:eastAsia="Palatino" w:hAnsi="Palatino" w:cs="Palatino"/>
          <w:i/>
          <w:iCs/>
          <w:color w:val="000000"/>
          <w:sz w:val="21"/>
          <w:szCs w:val="21"/>
        </w:rPr>
        <w:t xml:space="preserve">see </w:t>
      </w:r>
      <w:proofErr w:type="gramStart"/>
      <w:r>
        <w:rPr>
          <w:rFonts w:ascii="Palatino" w:eastAsia="Palatino" w:hAnsi="Palatino" w:cs="Palatino"/>
          <w:i/>
          <w:iCs/>
          <w:color w:val="000000"/>
          <w:sz w:val="21"/>
          <w:szCs w:val="21"/>
        </w:rPr>
        <w:t>In</w:t>
      </w:r>
      <w:proofErr w:type="gramEnd"/>
      <w:r>
        <w:rPr>
          <w:rFonts w:ascii="Palatino" w:eastAsia="Palatino" w:hAnsi="Palatino" w:cs="Palatino"/>
          <w:i/>
          <w:iCs/>
          <w:color w:val="000000"/>
          <w:sz w:val="21"/>
          <w:szCs w:val="21"/>
        </w:rPr>
        <w:t xml:space="preserve"> re Winship</w:t>
      </w:r>
      <w:r>
        <w:rPr>
          <w:rFonts w:ascii="Palatino" w:eastAsia="Palatino" w:hAnsi="Palatino" w:cs="Palatino"/>
          <w:color w:val="000000"/>
          <w:sz w:val="21"/>
          <w:szCs w:val="21"/>
        </w:rPr>
        <w:t xml:space="preserve">, 397 U.S. 358, 363-64, 90 S. Ct. 1068, 25 L. Ed. 2d 368 (1970), a defendant’s right to present a defense “generally includes the right to the admission of competent, reliable, exculpatory evidence” to negate an element of the offense, </w:t>
      </w:r>
      <w:r>
        <w:rPr>
          <w:rFonts w:ascii="Palatino" w:eastAsia="Palatino" w:hAnsi="Palatino" w:cs="Palatino"/>
          <w:i/>
          <w:iCs/>
          <w:color w:val="000000"/>
          <w:sz w:val="21"/>
          <w:szCs w:val="21"/>
        </w:rPr>
        <w:t xml:space="preserve">see United States v. </w:t>
      </w:r>
      <w:proofErr w:type="spellStart"/>
      <w:r>
        <w:rPr>
          <w:rFonts w:ascii="Palatino" w:eastAsia="Palatino" w:hAnsi="Palatino" w:cs="Palatino"/>
          <w:i/>
          <w:iCs/>
          <w:color w:val="000000"/>
          <w:sz w:val="21"/>
          <w:szCs w:val="21"/>
        </w:rPr>
        <w:t>Pohlot</w:t>
      </w:r>
      <w:proofErr w:type="spellEnd"/>
      <w:r>
        <w:rPr>
          <w:rFonts w:ascii="Palatino" w:eastAsia="Palatino" w:hAnsi="Palatino" w:cs="Palatino"/>
          <w:color w:val="000000"/>
          <w:sz w:val="21"/>
          <w:szCs w:val="21"/>
        </w:rPr>
        <w:t xml:space="preserve">, 827 F.2d 889, 900-01 (3d Cir. 1987) (citations omitted). Thus, in </w:t>
      </w:r>
      <w:r>
        <w:rPr>
          <w:rFonts w:ascii="Palatino" w:eastAsia="Palatino" w:hAnsi="Palatino" w:cs="Palatino"/>
          <w:i/>
          <w:iCs/>
          <w:color w:val="000000"/>
          <w:sz w:val="21"/>
          <w:szCs w:val="21"/>
        </w:rPr>
        <w:t>Chambers v. Mississippi</w:t>
      </w:r>
      <w:r>
        <w:rPr>
          <w:rFonts w:ascii="Palatino" w:eastAsia="Palatino" w:hAnsi="Palatino" w:cs="Palatino"/>
          <w:color w:val="000000"/>
          <w:sz w:val="21"/>
          <w:szCs w:val="21"/>
        </w:rPr>
        <w:t xml:space="preserve">, the Supreme Court held that the defendant should have been allowed to present testimony implicating another individual in the crime, because that testimony “bore persuasive assurances of trustworthiness” and “was critical to [the defendant’s] defense.” 410 U.S. 284, 302, 93 S. Ct. 1038, 35 L. Ed. 2d 297 (1973). The right to present a complete defense is therefore subject only to “reasonable restrictions” that “are not ‘arbitrary’ or ‘disproportionate to the purposes they are designed to serve.’” </w:t>
      </w:r>
      <w:r>
        <w:rPr>
          <w:rFonts w:ascii="Palatino" w:eastAsia="Palatino" w:hAnsi="Palatino" w:cs="Palatino"/>
          <w:i/>
          <w:iCs/>
          <w:color w:val="000000"/>
          <w:sz w:val="21"/>
          <w:szCs w:val="21"/>
        </w:rPr>
        <w:t xml:space="preserve">United States v. </w:t>
      </w:r>
      <w:proofErr w:type="spellStart"/>
      <w:r>
        <w:rPr>
          <w:rFonts w:ascii="Palatino" w:eastAsia="Palatino" w:hAnsi="Palatino" w:cs="Palatino"/>
          <w:i/>
          <w:iCs/>
          <w:color w:val="000000"/>
          <w:sz w:val="21"/>
          <w:szCs w:val="21"/>
        </w:rPr>
        <w:t>Scheffer</w:t>
      </w:r>
      <w:proofErr w:type="spellEnd"/>
      <w:r>
        <w:rPr>
          <w:rFonts w:ascii="Palatino" w:eastAsia="Palatino" w:hAnsi="Palatino" w:cs="Palatino"/>
          <w:color w:val="000000"/>
          <w:sz w:val="21"/>
          <w:szCs w:val="21"/>
        </w:rPr>
        <w:t xml:space="preserve">, 523 U.S. 303, 308, 118 S. Ct. 1261, 140 L. Ed. 2d 413 (1998) (quoting </w:t>
      </w:r>
      <w:r>
        <w:rPr>
          <w:rFonts w:ascii="Palatino" w:eastAsia="Palatino" w:hAnsi="Palatino" w:cs="Palatino"/>
          <w:i/>
          <w:iCs/>
          <w:color w:val="000000"/>
          <w:sz w:val="21"/>
          <w:szCs w:val="21"/>
        </w:rPr>
        <w:t>Rock v. Arkansas</w:t>
      </w:r>
      <w:r>
        <w:rPr>
          <w:rFonts w:ascii="Palatino" w:eastAsia="Palatino" w:hAnsi="Palatino" w:cs="Palatino"/>
          <w:color w:val="000000"/>
          <w:sz w:val="21"/>
          <w:szCs w:val="21"/>
        </w:rPr>
        <w:t>, 483 U.S. 44, 56, 107 S. Ct. 2704, 97 L. Ed. 2d 37 (1987)). In this case, Dr. Fabri’s testimony is potentially exculpatory because it undermines an element of the crime. The district court, however, did not rule on the competence or reliability of this testimony. Indeed, the district court did not tie the exclusion of evidence to a reasonable evidentiary restriction, but to a supposed categorical rule that does not apply. That ruling does not provide a sufficient basis for disallowing Odeh from presenting testimony that negates an element of §1425(a).</w:t>
      </w:r>
    </w:p>
    <w:p w14:paraId="00000088"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The Government argues that Dr. Fabri’s testimony was inadmissible based on our statement in </w:t>
      </w:r>
      <w:r>
        <w:rPr>
          <w:rFonts w:ascii="Palatino" w:eastAsia="Palatino" w:hAnsi="Palatino" w:cs="Palatino"/>
          <w:i/>
          <w:iCs/>
          <w:color w:val="000000"/>
          <w:sz w:val="21"/>
          <w:szCs w:val="21"/>
        </w:rPr>
        <w:t>Kimes</w:t>
      </w:r>
      <w:r>
        <w:rPr>
          <w:rFonts w:ascii="Palatino" w:eastAsia="Palatino" w:hAnsi="Palatino" w:cs="Palatino"/>
          <w:color w:val="000000"/>
          <w:sz w:val="21"/>
          <w:szCs w:val="21"/>
        </w:rPr>
        <w:t xml:space="preserve"> and </w:t>
      </w:r>
      <w:proofErr w:type="spellStart"/>
      <w:r>
        <w:rPr>
          <w:rFonts w:ascii="Palatino" w:eastAsia="Palatino" w:hAnsi="Palatino" w:cs="Palatino"/>
          <w:i/>
          <w:iCs/>
          <w:color w:val="000000"/>
          <w:sz w:val="21"/>
          <w:szCs w:val="21"/>
        </w:rPr>
        <w:t>Gonyea</w:t>
      </w:r>
      <w:proofErr w:type="spellEnd"/>
      <w:r>
        <w:rPr>
          <w:rFonts w:ascii="Palatino" w:eastAsia="Palatino" w:hAnsi="Palatino" w:cs="Palatino"/>
          <w:color w:val="000000"/>
          <w:sz w:val="21"/>
          <w:szCs w:val="21"/>
        </w:rPr>
        <w:t xml:space="preserve"> that “diminished capacity may be used only to negate the </w:t>
      </w:r>
      <w:proofErr w:type="spellStart"/>
      <w:r>
        <w:rPr>
          <w:rFonts w:ascii="Palatino" w:eastAsia="Palatino" w:hAnsi="Palatino" w:cs="Palatino"/>
          <w:color w:val="000000"/>
          <w:sz w:val="21"/>
          <w:szCs w:val="21"/>
        </w:rPr>
        <w:t>mens</w:t>
      </w:r>
      <w:proofErr w:type="spellEnd"/>
      <w:r>
        <w:rPr>
          <w:rFonts w:ascii="Palatino" w:eastAsia="Palatino" w:hAnsi="Palatino" w:cs="Palatino"/>
          <w:color w:val="000000"/>
          <w:sz w:val="21"/>
          <w:szCs w:val="21"/>
        </w:rPr>
        <w:t xml:space="preserve"> rea of a </w:t>
      </w:r>
      <w:r>
        <w:rPr>
          <w:rFonts w:ascii="Palatino" w:eastAsia="Palatino" w:hAnsi="Palatino" w:cs="Palatino"/>
          <w:i/>
          <w:iCs/>
          <w:color w:val="000000"/>
          <w:sz w:val="21"/>
          <w:szCs w:val="21"/>
        </w:rPr>
        <w:t>specific intent</w:t>
      </w:r>
      <w:r>
        <w:rPr>
          <w:rFonts w:ascii="Palatino" w:eastAsia="Palatino" w:hAnsi="Palatino" w:cs="Palatino"/>
          <w:color w:val="000000"/>
          <w:sz w:val="21"/>
          <w:szCs w:val="21"/>
        </w:rPr>
        <w:t xml:space="preserve"> crime.” </w:t>
      </w:r>
      <w:r>
        <w:rPr>
          <w:rFonts w:ascii="Palatino" w:eastAsia="Palatino" w:hAnsi="Palatino" w:cs="Palatino"/>
          <w:i/>
          <w:iCs/>
          <w:color w:val="000000"/>
          <w:sz w:val="21"/>
          <w:szCs w:val="21"/>
        </w:rPr>
        <w:t>Kimes</w:t>
      </w:r>
      <w:r>
        <w:rPr>
          <w:rFonts w:ascii="Palatino" w:eastAsia="Palatino" w:hAnsi="Palatino" w:cs="Palatino"/>
          <w:color w:val="000000"/>
          <w:sz w:val="21"/>
          <w:szCs w:val="21"/>
        </w:rPr>
        <w:t xml:space="preserve">, 246 F.3d at 806 (quoting </w:t>
      </w:r>
      <w:proofErr w:type="spellStart"/>
      <w:r>
        <w:rPr>
          <w:rFonts w:ascii="Palatino" w:eastAsia="Palatino" w:hAnsi="Palatino" w:cs="Palatino"/>
          <w:i/>
          <w:iCs/>
          <w:color w:val="000000"/>
          <w:sz w:val="21"/>
          <w:szCs w:val="21"/>
        </w:rPr>
        <w:t>Gonyea</w:t>
      </w:r>
      <w:proofErr w:type="spellEnd"/>
      <w:r>
        <w:rPr>
          <w:rFonts w:ascii="Palatino" w:eastAsia="Palatino" w:hAnsi="Palatino" w:cs="Palatino"/>
          <w:color w:val="000000"/>
          <w:sz w:val="21"/>
          <w:szCs w:val="21"/>
        </w:rPr>
        <w:t xml:space="preserve">, 140 F.3d at 650) (internal quotation marks omitted). The first step in the Government’s argument involves characterizing §1425(a) as a general intent crime by relying on </w:t>
      </w:r>
      <w:r>
        <w:rPr>
          <w:rFonts w:ascii="Palatino" w:eastAsia="Palatino" w:hAnsi="Palatino" w:cs="Palatino"/>
          <w:i/>
          <w:iCs/>
          <w:color w:val="000000"/>
          <w:sz w:val="21"/>
          <w:szCs w:val="21"/>
        </w:rPr>
        <w:t>United States v. S &amp; Vee Cartage Co.</w:t>
      </w:r>
      <w:r>
        <w:rPr>
          <w:rFonts w:ascii="Palatino" w:eastAsia="Palatino" w:hAnsi="Palatino" w:cs="Palatino"/>
          <w:color w:val="000000"/>
          <w:sz w:val="21"/>
          <w:szCs w:val="21"/>
        </w:rPr>
        <w:t xml:space="preserve">, 704 F.2d 914 (6th Cir. 1983). In that case, we held that a statute criminalizing the making of a false statement related to employee pension funds, while knowing that the statement was false, is a general intent crime. </w:t>
      </w:r>
      <w:r>
        <w:rPr>
          <w:rFonts w:ascii="Palatino" w:eastAsia="Palatino" w:hAnsi="Palatino" w:cs="Palatino"/>
          <w:i/>
          <w:iCs/>
          <w:color w:val="000000"/>
          <w:sz w:val="21"/>
          <w:szCs w:val="21"/>
        </w:rPr>
        <w:t>Id.</w:t>
      </w:r>
      <w:r>
        <w:rPr>
          <w:rFonts w:ascii="Palatino" w:eastAsia="Palatino" w:hAnsi="Palatino" w:cs="Palatino"/>
          <w:color w:val="000000"/>
          <w:sz w:val="21"/>
          <w:szCs w:val="21"/>
        </w:rPr>
        <w:t xml:space="preserve"> at 918-19. Under the Government’s reasoning, because §1425(a) is a general intent crime by analogy to </w:t>
      </w:r>
      <w:r>
        <w:rPr>
          <w:rFonts w:ascii="Palatino" w:eastAsia="Palatino" w:hAnsi="Palatino" w:cs="Palatino"/>
          <w:i/>
          <w:iCs/>
          <w:color w:val="000000"/>
          <w:sz w:val="21"/>
          <w:szCs w:val="21"/>
        </w:rPr>
        <w:t>S &amp; Vee Cartage</w:t>
      </w:r>
      <w:r>
        <w:rPr>
          <w:rFonts w:ascii="Palatino" w:eastAsia="Palatino" w:hAnsi="Palatino" w:cs="Palatino"/>
          <w:color w:val="000000"/>
          <w:sz w:val="21"/>
          <w:szCs w:val="21"/>
        </w:rPr>
        <w:t xml:space="preserve">, the statute falls squarely within the ambit of the statement in </w:t>
      </w:r>
      <w:r>
        <w:rPr>
          <w:rFonts w:ascii="Palatino" w:eastAsia="Palatino" w:hAnsi="Palatino" w:cs="Palatino"/>
          <w:i/>
          <w:iCs/>
          <w:color w:val="000000"/>
          <w:sz w:val="21"/>
          <w:szCs w:val="21"/>
        </w:rPr>
        <w:t>Kimes</w:t>
      </w:r>
      <w:r>
        <w:rPr>
          <w:rFonts w:ascii="Palatino" w:eastAsia="Palatino" w:hAnsi="Palatino" w:cs="Palatino"/>
          <w:color w:val="000000"/>
          <w:sz w:val="21"/>
          <w:szCs w:val="21"/>
        </w:rPr>
        <w:t xml:space="preserve"> and </w:t>
      </w:r>
      <w:proofErr w:type="spellStart"/>
      <w:r>
        <w:rPr>
          <w:rFonts w:ascii="Palatino" w:eastAsia="Palatino" w:hAnsi="Palatino" w:cs="Palatino"/>
          <w:i/>
          <w:iCs/>
          <w:color w:val="000000"/>
          <w:sz w:val="21"/>
          <w:szCs w:val="21"/>
        </w:rPr>
        <w:t>Gonyea</w:t>
      </w:r>
      <w:proofErr w:type="spellEnd"/>
      <w:r>
        <w:rPr>
          <w:rFonts w:ascii="Palatino" w:eastAsia="Palatino" w:hAnsi="Palatino" w:cs="Palatino"/>
          <w:color w:val="000000"/>
          <w:sz w:val="21"/>
          <w:szCs w:val="21"/>
        </w:rPr>
        <w:t xml:space="preserve"> that diminished capacity evidence is admissible only in specific intent prosecutions.</w:t>
      </w:r>
    </w:p>
    <w:p w14:paraId="00000089"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Even assuming that §1425(a) is a general intent crime, the Government’s reliance on </w:t>
      </w:r>
      <w:r>
        <w:rPr>
          <w:rFonts w:ascii="Palatino" w:eastAsia="Palatino" w:hAnsi="Palatino" w:cs="Palatino"/>
          <w:i/>
          <w:iCs/>
          <w:color w:val="000000"/>
          <w:sz w:val="21"/>
          <w:szCs w:val="21"/>
        </w:rPr>
        <w:t>Kimes</w:t>
      </w:r>
      <w:r>
        <w:rPr>
          <w:rFonts w:ascii="Palatino" w:eastAsia="Palatino" w:hAnsi="Palatino" w:cs="Palatino"/>
          <w:color w:val="000000"/>
          <w:sz w:val="21"/>
          <w:szCs w:val="21"/>
        </w:rPr>
        <w:t xml:space="preserve"> and </w:t>
      </w:r>
      <w:proofErr w:type="spellStart"/>
      <w:r>
        <w:rPr>
          <w:rFonts w:ascii="Palatino" w:eastAsia="Palatino" w:hAnsi="Palatino" w:cs="Palatino"/>
          <w:i/>
          <w:iCs/>
          <w:color w:val="000000"/>
          <w:sz w:val="21"/>
          <w:szCs w:val="21"/>
        </w:rPr>
        <w:t>Gonyea</w:t>
      </w:r>
      <w:proofErr w:type="spellEnd"/>
      <w:r>
        <w:rPr>
          <w:rFonts w:ascii="Palatino" w:eastAsia="Palatino" w:hAnsi="Palatino" w:cs="Palatino"/>
          <w:color w:val="000000"/>
          <w:sz w:val="21"/>
          <w:szCs w:val="21"/>
        </w:rPr>
        <w:t xml:space="preserve"> is misplaced because those decisions are distinguishable. The holdings in those cases are based on the fact that the evidence the defendants sought to introduce negated </w:t>
      </w:r>
      <w:r>
        <w:rPr>
          <w:rFonts w:ascii="Palatino" w:eastAsia="Palatino" w:hAnsi="Palatino" w:cs="Palatino"/>
          <w:i/>
          <w:iCs/>
          <w:color w:val="000000"/>
          <w:sz w:val="21"/>
          <w:szCs w:val="21"/>
        </w:rPr>
        <w:t>only</w:t>
      </w:r>
      <w:r>
        <w:rPr>
          <w:rFonts w:ascii="Palatino" w:eastAsia="Palatino" w:hAnsi="Palatino" w:cs="Palatino"/>
          <w:color w:val="000000"/>
          <w:sz w:val="21"/>
          <w:szCs w:val="21"/>
        </w:rPr>
        <w:t xml:space="preserve"> a potential specific intent element, the defendants’ purpose in committing the crime. The purported rule could therefore be rephrased to state that “evidence of diminished capacity is inadmissible in general intent prosecutions where the diminished capacity relates to what would be a specific intent element.” Because </w:t>
      </w:r>
      <w:r>
        <w:rPr>
          <w:rFonts w:ascii="Palatino" w:eastAsia="Palatino" w:hAnsi="Palatino" w:cs="Palatino"/>
          <w:i/>
          <w:iCs/>
          <w:color w:val="000000"/>
          <w:sz w:val="21"/>
          <w:szCs w:val="21"/>
        </w:rPr>
        <w:t>Kimes</w:t>
      </w:r>
      <w:r>
        <w:rPr>
          <w:rFonts w:ascii="Palatino" w:eastAsia="Palatino" w:hAnsi="Palatino" w:cs="Palatino"/>
          <w:color w:val="000000"/>
          <w:sz w:val="21"/>
          <w:szCs w:val="21"/>
        </w:rPr>
        <w:t xml:space="preserve"> and </w:t>
      </w:r>
      <w:proofErr w:type="spellStart"/>
      <w:r>
        <w:rPr>
          <w:rFonts w:ascii="Palatino" w:eastAsia="Palatino" w:hAnsi="Palatino" w:cs="Palatino"/>
          <w:i/>
          <w:iCs/>
          <w:color w:val="000000"/>
          <w:sz w:val="21"/>
          <w:szCs w:val="21"/>
        </w:rPr>
        <w:lastRenderedPageBreak/>
        <w:t>Gonyea</w:t>
      </w:r>
      <w:proofErr w:type="spellEnd"/>
      <w:r>
        <w:rPr>
          <w:rFonts w:ascii="Palatino" w:eastAsia="Palatino" w:hAnsi="Palatino" w:cs="Palatino"/>
          <w:color w:val="000000"/>
          <w:sz w:val="21"/>
          <w:szCs w:val="21"/>
        </w:rPr>
        <w:t xml:space="preserve"> are distinguishable, the Government’s argument that the law-of-the-circuit doctrine prevents this court from granting relief fails.</w:t>
      </w:r>
    </w:p>
    <w:p w14:paraId="0000008A"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In </w:t>
      </w:r>
      <w:proofErr w:type="spellStart"/>
      <w:r>
        <w:rPr>
          <w:rFonts w:ascii="Palatino" w:eastAsia="Palatino" w:hAnsi="Palatino" w:cs="Palatino"/>
          <w:i/>
          <w:iCs/>
          <w:color w:val="000000"/>
          <w:sz w:val="21"/>
          <w:szCs w:val="21"/>
        </w:rPr>
        <w:t>Gonyea</w:t>
      </w:r>
      <w:proofErr w:type="spellEnd"/>
      <w:r>
        <w:rPr>
          <w:rFonts w:ascii="Palatino" w:eastAsia="Palatino" w:hAnsi="Palatino" w:cs="Palatino"/>
          <w:color w:val="000000"/>
          <w:sz w:val="21"/>
          <w:szCs w:val="21"/>
        </w:rPr>
        <w:t xml:space="preserve">, the defendant attempted to introduce psychological evidence that he was unable to resist committing the bank robberies for which he was charged. 140 F.3d at 650. The trial court precluded the defendant from offering this testimony. </w:t>
      </w:r>
      <w:r>
        <w:rPr>
          <w:rFonts w:ascii="Palatino" w:eastAsia="Palatino" w:hAnsi="Palatino" w:cs="Palatino"/>
          <w:i/>
          <w:iCs/>
          <w:color w:val="000000"/>
          <w:sz w:val="21"/>
          <w:szCs w:val="21"/>
        </w:rPr>
        <w:t>Id.</w:t>
      </w:r>
      <w:r>
        <w:rPr>
          <w:rFonts w:ascii="Palatino" w:eastAsia="Palatino" w:hAnsi="Palatino" w:cs="Palatino"/>
          <w:color w:val="000000"/>
          <w:sz w:val="21"/>
          <w:szCs w:val="21"/>
        </w:rPr>
        <w:t xml:space="preserve"> In his brief on appeal, the defendant argued that bank robbery under 18 U.S.C. §2113(a) is a specific intent crime and that the psychological evidence showed that he did not specifically intend to commit an unlawful act. Final Brief of Defendant-Appellant Jerry </w:t>
      </w:r>
      <w:proofErr w:type="spellStart"/>
      <w:r>
        <w:rPr>
          <w:rFonts w:ascii="Palatino" w:eastAsia="Palatino" w:hAnsi="Palatino" w:cs="Palatino"/>
          <w:color w:val="000000"/>
          <w:sz w:val="21"/>
          <w:szCs w:val="21"/>
        </w:rPr>
        <w:t>Gonyea</w:t>
      </w:r>
      <w:proofErr w:type="spellEnd"/>
      <w:r>
        <w:rPr>
          <w:rFonts w:ascii="Palatino" w:eastAsia="Palatino" w:hAnsi="Palatino" w:cs="Palatino"/>
          <w:color w:val="000000"/>
          <w:sz w:val="21"/>
          <w:szCs w:val="21"/>
        </w:rPr>
        <w:t xml:space="preserve"> at 23, 26, </w:t>
      </w:r>
      <w:proofErr w:type="spellStart"/>
      <w:r>
        <w:rPr>
          <w:rFonts w:ascii="Palatino" w:eastAsia="Palatino" w:hAnsi="Palatino" w:cs="Palatino"/>
          <w:i/>
          <w:iCs/>
          <w:color w:val="000000"/>
          <w:sz w:val="21"/>
          <w:szCs w:val="21"/>
        </w:rPr>
        <w:t>Gonyea</w:t>
      </w:r>
      <w:proofErr w:type="spellEnd"/>
      <w:r>
        <w:rPr>
          <w:rFonts w:ascii="Palatino" w:eastAsia="Palatino" w:hAnsi="Palatino" w:cs="Palatino"/>
          <w:color w:val="000000"/>
          <w:sz w:val="21"/>
          <w:szCs w:val="21"/>
        </w:rPr>
        <w:t xml:space="preserve">, 140 F.3d 649 (No. 96-2267). We held that the defendant’s evidence was not admissible, concluding that §2113(a) is a general intent crime. </w:t>
      </w:r>
      <w:proofErr w:type="spellStart"/>
      <w:r>
        <w:rPr>
          <w:rFonts w:ascii="Palatino" w:eastAsia="Palatino" w:hAnsi="Palatino" w:cs="Palatino"/>
          <w:i/>
          <w:iCs/>
          <w:color w:val="000000"/>
          <w:sz w:val="21"/>
          <w:szCs w:val="21"/>
        </w:rPr>
        <w:t>Gonyea</w:t>
      </w:r>
      <w:proofErr w:type="spellEnd"/>
      <w:r>
        <w:rPr>
          <w:rFonts w:ascii="Palatino" w:eastAsia="Palatino" w:hAnsi="Palatino" w:cs="Palatino"/>
          <w:color w:val="000000"/>
          <w:sz w:val="21"/>
          <w:szCs w:val="21"/>
        </w:rPr>
        <w:t xml:space="preserve">, 140 F.3d at 654. Although we did not spell out the reasoning for our holding beyond stating that bank robbery is a general intent crime, it is apparent that we rejected the defendant’s argument because his alleged inability to resist committing the crime did not negate the general intent requirement that a defendant must know that he is doing the act that makes up the crime. Indeed, the psychological evidence showed that “[t]he defendant felt compelled to continue to act on his obsessive goal of robbing the bank,” a fact that would tend to prove only that the defendant did not have a bad purpose. </w:t>
      </w:r>
      <w:r>
        <w:rPr>
          <w:rFonts w:ascii="Palatino" w:eastAsia="Palatino" w:hAnsi="Palatino" w:cs="Palatino"/>
          <w:i/>
          <w:iCs/>
          <w:color w:val="000000"/>
          <w:sz w:val="21"/>
          <w:szCs w:val="21"/>
        </w:rPr>
        <w:t>Id.</w:t>
      </w:r>
      <w:r>
        <w:rPr>
          <w:rFonts w:ascii="Palatino" w:eastAsia="Palatino" w:hAnsi="Palatino" w:cs="Palatino"/>
          <w:color w:val="000000"/>
          <w:sz w:val="21"/>
          <w:szCs w:val="21"/>
        </w:rPr>
        <w:t xml:space="preserve"> at 650.</w:t>
      </w:r>
    </w:p>
    <w:p w14:paraId="0000008B"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A similar set of facts arose in </w:t>
      </w:r>
      <w:r>
        <w:rPr>
          <w:rFonts w:ascii="Palatino" w:eastAsia="Palatino" w:hAnsi="Palatino" w:cs="Palatino"/>
          <w:i/>
          <w:iCs/>
          <w:color w:val="000000"/>
          <w:sz w:val="21"/>
          <w:szCs w:val="21"/>
        </w:rPr>
        <w:t>Kimes</w:t>
      </w:r>
      <w:r>
        <w:rPr>
          <w:rFonts w:ascii="Palatino" w:eastAsia="Palatino" w:hAnsi="Palatino" w:cs="Palatino"/>
          <w:color w:val="000000"/>
          <w:sz w:val="21"/>
          <w:szCs w:val="21"/>
        </w:rPr>
        <w:t xml:space="preserve">, a case involving an assault of a federal officer. 246 F.3d at 802-03. In </w:t>
      </w:r>
      <w:r>
        <w:rPr>
          <w:rFonts w:ascii="Palatino" w:eastAsia="Palatino" w:hAnsi="Palatino" w:cs="Palatino"/>
          <w:i/>
          <w:iCs/>
          <w:color w:val="000000"/>
          <w:sz w:val="21"/>
          <w:szCs w:val="21"/>
        </w:rPr>
        <w:t>Kimes</w:t>
      </w:r>
      <w:r>
        <w:rPr>
          <w:rFonts w:ascii="Palatino" w:eastAsia="Palatino" w:hAnsi="Palatino" w:cs="Palatino"/>
          <w:color w:val="000000"/>
          <w:sz w:val="21"/>
          <w:szCs w:val="21"/>
        </w:rPr>
        <w:t xml:space="preserve">, the defendant sought to introduce evidence that PTSD “robbed him of the ability to control his actions,” such that when a federal officer touched his shoulder, he could not help but overreact. </w:t>
      </w:r>
      <w:r>
        <w:rPr>
          <w:rFonts w:ascii="Palatino" w:eastAsia="Palatino" w:hAnsi="Palatino" w:cs="Palatino"/>
          <w:i/>
          <w:iCs/>
          <w:color w:val="000000"/>
          <w:sz w:val="21"/>
          <w:szCs w:val="21"/>
        </w:rPr>
        <w:t>Id.</w:t>
      </w:r>
      <w:r>
        <w:rPr>
          <w:rFonts w:ascii="Palatino" w:eastAsia="Palatino" w:hAnsi="Palatino" w:cs="Palatino"/>
          <w:color w:val="000000"/>
          <w:sz w:val="21"/>
          <w:szCs w:val="21"/>
        </w:rPr>
        <w:t xml:space="preserve"> at 803. In rejecting this claim, we held that the assault of a federal officer under 18 U.S.C. §111(a)(1) is a general intent crime because it is “sufficient for a defendant to act, regardless of the reason for the action.” </w:t>
      </w:r>
      <w:r>
        <w:rPr>
          <w:rFonts w:ascii="Palatino" w:eastAsia="Palatino" w:hAnsi="Palatino" w:cs="Palatino"/>
          <w:i/>
          <w:iCs/>
          <w:color w:val="000000"/>
          <w:sz w:val="21"/>
          <w:szCs w:val="21"/>
        </w:rPr>
        <w:t>Kimes</w:t>
      </w:r>
      <w:r>
        <w:rPr>
          <w:rFonts w:ascii="Palatino" w:eastAsia="Palatino" w:hAnsi="Palatino" w:cs="Palatino"/>
          <w:color w:val="000000"/>
          <w:sz w:val="21"/>
          <w:szCs w:val="21"/>
        </w:rPr>
        <w:t xml:space="preserve">, 246 F.3d at 808. Because the Government did not have to prove that the defendant specifically intended harm and the defendant’s evidence was relevant only to his purpose in assaulting the officer, that evidence was properly excluded. </w:t>
      </w:r>
      <w:r>
        <w:rPr>
          <w:rFonts w:ascii="Palatino" w:eastAsia="Palatino" w:hAnsi="Palatino" w:cs="Palatino"/>
          <w:i/>
          <w:iCs/>
          <w:color w:val="000000"/>
          <w:sz w:val="21"/>
          <w:szCs w:val="21"/>
        </w:rPr>
        <w:t>Id.</w:t>
      </w:r>
      <w:r>
        <w:rPr>
          <w:rFonts w:ascii="Palatino" w:eastAsia="Palatino" w:hAnsi="Palatino" w:cs="Palatino"/>
          <w:color w:val="000000"/>
          <w:sz w:val="21"/>
          <w:szCs w:val="21"/>
        </w:rPr>
        <w:t xml:space="preserve"> at 808-09. In </w:t>
      </w:r>
      <w:r>
        <w:rPr>
          <w:rFonts w:ascii="Palatino" w:eastAsia="Palatino" w:hAnsi="Palatino" w:cs="Palatino"/>
          <w:i/>
          <w:iCs/>
          <w:color w:val="000000"/>
          <w:sz w:val="21"/>
          <w:szCs w:val="21"/>
        </w:rPr>
        <w:t>United States v. Willis</w:t>
      </w:r>
      <w:r>
        <w:rPr>
          <w:rFonts w:ascii="Palatino" w:eastAsia="Palatino" w:hAnsi="Palatino" w:cs="Palatino"/>
          <w:color w:val="000000"/>
          <w:sz w:val="21"/>
          <w:szCs w:val="21"/>
        </w:rPr>
        <w:t>, too, we similarly held inadmissible evidence of paranoid personality disorder in a prosecution for the general intent crime of possessing a firearm as a felon, as the evidence did not suggest that the defendant did not know that he was carrying a gun, but instead that he “had no choice but to carry the gun.” 187 F.3d 639, at 7 (6th Cir. 1999) (unpublished table opinion).</w:t>
      </w:r>
    </w:p>
    <w:p w14:paraId="0000008C"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In contrast to the proposed testimony in </w:t>
      </w:r>
      <w:r>
        <w:rPr>
          <w:rFonts w:ascii="Palatino" w:eastAsia="Palatino" w:hAnsi="Palatino" w:cs="Palatino"/>
          <w:i/>
          <w:iCs/>
          <w:color w:val="000000"/>
          <w:sz w:val="21"/>
          <w:szCs w:val="21"/>
        </w:rPr>
        <w:t>Kimes</w:t>
      </w:r>
      <w:r>
        <w:rPr>
          <w:rFonts w:ascii="Palatino" w:eastAsia="Palatino" w:hAnsi="Palatino" w:cs="Palatino"/>
          <w:color w:val="000000"/>
          <w:sz w:val="21"/>
          <w:szCs w:val="21"/>
        </w:rPr>
        <w:t xml:space="preserve"> and </w:t>
      </w:r>
      <w:proofErr w:type="spellStart"/>
      <w:r>
        <w:rPr>
          <w:rFonts w:ascii="Palatino" w:eastAsia="Palatino" w:hAnsi="Palatino" w:cs="Palatino"/>
          <w:i/>
          <w:iCs/>
          <w:color w:val="000000"/>
          <w:sz w:val="21"/>
          <w:szCs w:val="21"/>
        </w:rPr>
        <w:t>Gonyea</w:t>
      </w:r>
      <w:proofErr w:type="spellEnd"/>
      <w:r>
        <w:rPr>
          <w:rFonts w:ascii="Palatino" w:eastAsia="Palatino" w:hAnsi="Palatino" w:cs="Palatino"/>
          <w:color w:val="000000"/>
          <w:sz w:val="21"/>
          <w:szCs w:val="21"/>
        </w:rPr>
        <w:t xml:space="preserve">, Dr. Fabri’s testimony does not suggest that Odeh felt compelled to commit a crime, but rather that Odeh did not know that her answers on the naturalization application were false. The district court therefore should not have excluded Dr. Fabri’s testimony based on the supposed categorical rule in </w:t>
      </w:r>
      <w:r>
        <w:rPr>
          <w:rFonts w:ascii="Palatino" w:eastAsia="Palatino" w:hAnsi="Palatino" w:cs="Palatino"/>
          <w:i/>
          <w:iCs/>
          <w:color w:val="000000"/>
          <w:sz w:val="21"/>
          <w:szCs w:val="21"/>
        </w:rPr>
        <w:t>Kimes</w:t>
      </w:r>
      <w:r>
        <w:rPr>
          <w:rFonts w:ascii="Palatino" w:eastAsia="Palatino" w:hAnsi="Palatino" w:cs="Palatino"/>
          <w:color w:val="000000"/>
          <w:sz w:val="21"/>
          <w:szCs w:val="21"/>
        </w:rPr>
        <w:t xml:space="preserve"> and </w:t>
      </w:r>
      <w:proofErr w:type="spellStart"/>
      <w:r>
        <w:rPr>
          <w:rFonts w:ascii="Palatino" w:eastAsia="Palatino" w:hAnsi="Palatino" w:cs="Palatino"/>
          <w:i/>
          <w:iCs/>
          <w:color w:val="000000"/>
          <w:sz w:val="21"/>
          <w:szCs w:val="21"/>
        </w:rPr>
        <w:t>Gonyea</w:t>
      </w:r>
      <w:proofErr w:type="spellEnd"/>
      <w:r>
        <w:rPr>
          <w:rFonts w:ascii="Palatino" w:eastAsia="Palatino" w:hAnsi="Palatino" w:cs="Palatino"/>
          <w:i/>
          <w:iCs/>
          <w:color w:val="000000"/>
          <w:sz w:val="21"/>
          <w:szCs w:val="21"/>
        </w:rPr>
        <w:t>.</w:t>
      </w:r>
      <w:r>
        <w:rPr>
          <w:rFonts w:ascii="Palatino" w:eastAsia="Palatino" w:hAnsi="Palatino" w:cs="Palatino"/>
          <w:color w:val="000000"/>
          <w:sz w:val="21"/>
          <w:szCs w:val="21"/>
        </w:rPr>
        <w:t xml:space="preserve"> The Third Circuit has provided helpful insight into why cases like Odeh’s arise infrequently. According to that court, “[m]</w:t>
      </w:r>
      <w:proofErr w:type="spellStart"/>
      <w:r>
        <w:rPr>
          <w:rFonts w:ascii="Palatino" w:eastAsia="Palatino" w:hAnsi="Palatino" w:cs="Palatino"/>
          <w:color w:val="000000"/>
          <w:sz w:val="21"/>
          <w:szCs w:val="21"/>
        </w:rPr>
        <w:t>ost</w:t>
      </w:r>
      <w:proofErr w:type="spellEnd"/>
      <w:r>
        <w:rPr>
          <w:rFonts w:ascii="Palatino" w:eastAsia="Palatino" w:hAnsi="Palatino" w:cs="Palatino"/>
          <w:color w:val="000000"/>
          <w:sz w:val="21"/>
          <w:szCs w:val="21"/>
        </w:rPr>
        <w:t xml:space="preserve"> states. . .limit psychiatric evidence to specific intent crimes on the theory that mental abnormality can virtually never disprove the </w:t>
      </w:r>
      <w:proofErr w:type="spellStart"/>
      <w:r>
        <w:rPr>
          <w:rFonts w:ascii="Palatino" w:eastAsia="Palatino" w:hAnsi="Palatino" w:cs="Palatino"/>
          <w:color w:val="000000"/>
          <w:sz w:val="21"/>
          <w:szCs w:val="21"/>
        </w:rPr>
        <w:t>mens</w:t>
      </w:r>
      <w:proofErr w:type="spellEnd"/>
      <w:r>
        <w:rPr>
          <w:rFonts w:ascii="Palatino" w:eastAsia="Palatino" w:hAnsi="Palatino" w:cs="Palatino"/>
          <w:color w:val="000000"/>
          <w:sz w:val="21"/>
          <w:szCs w:val="21"/>
        </w:rPr>
        <w:t xml:space="preserve"> rea required for general intent crimes.” </w:t>
      </w:r>
      <w:proofErr w:type="spellStart"/>
      <w:r>
        <w:rPr>
          <w:rFonts w:ascii="Palatino" w:eastAsia="Palatino" w:hAnsi="Palatino" w:cs="Palatino"/>
          <w:i/>
          <w:iCs/>
          <w:color w:val="000000"/>
          <w:sz w:val="21"/>
          <w:szCs w:val="21"/>
        </w:rPr>
        <w:t>Pohlot</w:t>
      </w:r>
      <w:proofErr w:type="spellEnd"/>
      <w:r>
        <w:rPr>
          <w:rFonts w:ascii="Palatino" w:eastAsia="Palatino" w:hAnsi="Palatino" w:cs="Palatino"/>
          <w:color w:val="000000"/>
          <w:sz w:val="21"/>
          <w:szCs w:val="21"/>
        </w:rPr>
        <w:t xml:space="preserve">, 827 F.2d at 897 n.4. In this case, however, Dr. Fabri’s testimony potentially negates the general intent element of §1425(a), Odeh’s knowledge of the physical act of the offense. </w:t>
      </w:r>
      <w:r>
        <w:rPr>
          <w:rFonts w:ascii="Palatino" w:eastAsia="Palatino" w:hAnsi="Palatino" w:cs="Palatino"/>
          <w:i/>
          <w:iCs/>
          <w:color w:val="000000"/>
          <w:sz w:val="21"/>
          <w:szCs w:val="21"/>
        </w:rPr>
        <w:t>Kimes</w:t>
      </w:r>
      <w:r>
        <w:rPr>
          <w:rFonts w:ascii="Palatino" w:eastAsia="Palatino" w:hAnsi="Palatino" w:cs="Palatino"/>
          <w:color w:val="000000"/>
          <w:sz w:val="21"/>
          <w:szCs w:val="21"/>
        </w:rPr>
        <w:t xml:space="preserve"> and </w:t>
      </w:r>
      <w:proofErr w:type="spellStart"/>
      <w:r>
        <w:rPr>
          <w:rFonts w:ascii="Palatino" w:eastAsia="Palatino" w:hAnsi="Palatino" w:cs="Palatino"/>
          <w:i/>
          <w:iCs/>
          <w:color w:val="000000"/>
          <w:sz w:val="21"/>
          <w:szCs w:val="21"/>
        </w:rPr>
        <w:t>Gonyea</w:t>
      </w:r>
      <w:proofErr w:type="spellEnd"/>
      <w:r>
        <w:rPr>
          <w:rFonts w:ascii="Palatino" w:eastAsia="Palatino" w:hAnsi="Palatino" w:cs="Palatino"/>
          <w:color w:val="000000"/>
          <w:sz w:val="21"/>
          <w:szCs w:val="21"/>
        </w:rPr>
        <w:t xml:space="preserve"> do not control.</w:t>
      </w:r>
    </w:p>
    <w:p w14:paraId="0000008D"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The district court in this case, after initially concluding that §1425(a) is a specific intent crime, conducted an evidentiary hearing on the testimony’s admissibility. Aside from rejecting the categorical exclusion of Dr. Fabri’s testimony under </w:t>
      </w:r>
      <w:r>
        <w:rPr>
          <w:rFonts w:ascii="Palatino" w:eastAsia="Palatino" w:hAnsi="Palatino" w:cs="Palatino"/>
          <w:i/>
          <w:iCs/>
          <w:color w:val="000000"/>
          <w:sz w:val="21"/>
          <w:szCs w:val="21"/>
        </w:rPr>
        <w:t>Kimes</w:t>
      </w:r>
      <w:r>
        <w:rPr>
          <w:rFonts w:ascii="Palatino" w:eastAsia="Palatino" w:hAnsi="Palatino" w:cs="Palatino"/>
          <w:color w:val="000000"/>
          <w:sz w:val="21"/>
          <w:szCs w:val="21"/>
        </w:rPr>
        <w:t xml:space="preserve"> and </w:t>
      </w:r>
      <w:proofErr w:type="spellStart"/>
      <w:r>
        <w:rPr>
          <w:rFonts w:ascii="Palatino" w:eastAsia="Palatino" w:hAnsi="Palatino" w:cs="Palatino"/>
          <w:i/>
          <w:iCs/>
          <w:color w:val="000000"/>
          <w:sz w:val="21"/>
          <w:szCs w:val="21"/>
        </w:rPr>
        <w:t>Gonyea</w:t>
      </w:r>
      <w:proofErr w:type="spellEnd"/>
      <w:r>
        <w:rPr>
          <w:rFonts w:ascii="Palatino" w:eastAsia="Palatino" w:hAnsi="Palatino" w:cs="Palatino"/>
          <w:color w:val="000000"/>
          <w:sz w:val="21"/>
          <w:szCs w:val="21"/>
        </w:rPr>
        <w:t>, we leave the evidentiary decision regarding the admissibility of the testimony to the district court in the first instance.</w:t>
      </w:r>
    </w:p>
    <w:p w14:paraId="0000008E"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In addition to the argument based on </w:t>
      </w:r>
      <w:r>
        <w:rPr>
          <w:rFonts w:ascii="Palatino" w:eastAsia="Palatino" w:hAnsi="Palatino" w:cs="Palatino"/>
          <w:i/>
          <w:iCs/>
          <w:color w:val="000000"/>
          <w:sz w:val="21"/>
          <w:szCs w:val="21"/>
        </w:rPr>
        <w:t>Kimes</w:t>
      </w:r>
      <w:r>
        <w:rPr>
          <w:rFonts w:ascii="Palatino" w:eastAsia="Palatino" w:hAnsi="Palatino" w:cs="Palatino"/>
          <w:color w:val="000000"/>
          <w:sz w:val="21"/>
          <w:szCs w:val="21"/>
        </w:rPr>
        <w:t xml:space="preserve"> and </w:t>
      </w:r>
      <w:proofErr w:type="spellStart"/>
      <w:r>
        <w:rPr>
          <w:rFonts w:ascii="Palatino" w:eastAsia="Palatino" w:hAnsi="Palatino" w:cs="Palatino"/>
          <w:i/>
          <w:iCs/>
          <w:color w:val="000000"/>
          <w:sz w:val="21"/>
          <w:szCs w:val="21"/>
        </w:rPr>
        <w:t>Gonyea</w:t>
      </w:r>
      <w:proofErr w:type="spellEnd"/>
      <w:r>
        <w:rPr>
          <w:rFonts w:ascii="Palatino" w:eastAsia="Palatino" w:hAnsi="Palatino" w:cs="Palatino"/>
          <w:color w:val="000000"/>
          <w:sz w:val="21"/>
          <w:szCs w:val="21"/>
        </w:rPr>
        <w:t xml:space="preserve">, the Government makes three other </w:t>
      </w:r>
      <w:r>
        <w:rPr>
          <w:rFonts w:ascii="Palatino" w:eastAsia="Palatino" w:hAnsi="Palatino" w:cs="Palatino"/>
          <w:color w:val="000000"/>
          <w:sz w:val="21"/>
          <w:szCs w:val="21"/>
        </w:rPr>
        <w:lastRenderedPageBreak/>
        <w:t>arguments related to Dr. Fabri’s testimony about why the district court’s judgment should not be disturbed. None has merit.</w:t>
      </w:r>
    </w:p>
    <w:p w14:paraId="0000008F"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First, the Government argues that even if the court should have admitted Dr. Fabri’s testimony, Odeh did not preserve the argument that the testimony is admissible as to Odeh’s knowledge of falsity. The Government asserts that Odeh sought to introduce the evidence only to negate her purpose, the potential specific intent element of §1425(a). This argument fails. Odeh made an offer of proof concerning Dr. Fabri’s testimony after the district court initially ruled that §1425(a) is a specific intent crime. In that offer, Odeh</w:t>
      </w:r>
    </w:p>
    <w:p w14:paraId="00000090" w14:textId="77777777" w:rsidR="00AC267B" w:rsidRDefault="00000000">
      <w:pPr>
        <w:widowControl w:val="0"/>
        <w:pBdr>
          <w:top w:val="nil"/>
          <w:left w:val="nil"/>
          <w:bottom w:val="nil"/>
          <w:right w:val="nil"/>
          <w:between w:val="nil"/>
        </w:pBdr>
        <w:tabs>
          <w:tab w:val="left" w:pos="600"/>
        </w:tabs>
        <w:spacing w:before="120" w:after="120"/>
        <w:ind w:left="300" w:right="300"/>
        <w:jc w:val="both"/>
        <w:rPr>
          <w:rFonts w:ascii="Palatino" w:eastAsia="Palatino" w:hAnsi="Palatino" w:cs="Palatino"/>
          <w:color w:val="000000"/>
          <w:sz w:val="19"/>
          <w:szCs w:val="19"/>
        </w:rPr>
      </w:pPr>
      <w:r>
        <w:rPr>
          <w:rFonts w:ascii="Palatino" w:eastAsia="Palatino" w:hAnsi="Palatino" w:cs="Palatino"/>
          <w:color w:val="000000"/>
          <w:sz w:val="19"/>
          <w:szCs w:val="19"/>
        </w:rPr>
        <w:t>respectfully request[ed] that the Court rule that the expert testimony of Dr. Mary Fabri is relevant to the defense of Ms. Odeh, and that Dr. Fabri be allowed to testify about her diagnosis of the defendant and how chronic PTSD would “typically” create a cognitive memory block to traumatic past experiences.</w:t>
      </w:r>
    </w:p>
    <w:p w14:paraId="00000091"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This offer does not state that Dr. Fabri’s testimony is relevant only to Odeh’s purpose. Even after the district court concluded that Dr. Fabri’s testimony was inadmissible, Odeh argued that her own testimony about the effect of torture on her state of mind would be admissible notwithstanding the court’s conclusion that §1425(a) is a general intent crime. This record shows that Odeh sought to introduce both her own testimony and Dr. Fabri’s testimony to show how Odeh’s alleged PTSD affected her knowledge of falsity. Plain error review does not apply.</w:t>
      </w:r>
    </w:p>
    <w:p w14:paraId="00000092"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Second, the Government argues that Odeh was not prejudiced by the exclusion of the testimony. An evidentiary ruling is prejudicial if the excluded evidence “creates a reasonable doubt that did not otherwise exist.” </w:t>
      </w:r>
      <w:r>
        <w:rPr>
          <w:rFonts w:ascii="Palatino" w:eastAsia="Palatino" w:hAnsi="Palatino" w:cs="Palatino"/>
          <w:i/>
          <w:iCs/>
          <w:color w:val="000000"/>
          <w:sz w:val="21"/>
          <w:szCs w:val="21"/>
        </w:rPr>
        <w:t>United States v. Blackwell</w:t>
      </w:r>
      <w:r>
        <w:rPr>
          <w:rFonts w:ascii="Palatino" w:eastAsia="Palatino" w:hAnsi="Palatino" w:cs="Palatino"/>
          <w:color w:val="000000"/>
          <w:sz w:val="21"/>
          <w:szCs w:val="21"/>
        </w:rPr>
        <w:t xml:space="preserve">, 459 F.3d 739, 753 (6th Cir. 2006) (quoting </w:t>
      </w:r>
      <w:r>
        <w:rPr>
          <w:rFonts w:ascii="Palatino" w:eastAsia="Palatino" w:hAnsi="Palatino" w:cs="Palatino"/>
          <w:i/>
          <w:iCs/>
          <w:color w:val="000000"/>
          <w:sz w:val="21"/>
          <w:szCs w:val="21"/>
        </w:rPr>
        <w:t xml:space="preserve">Washington v. </w:t>
      </w:r>
      <w:proofErr w:type="spellStart"/>
      <w:r>
        <w:rPr>
          <w:rFonts w:ascii="Palatino" w:eastAsia="Palatino" w:hAnsi="Palatino" w:cs="Palatino"/>
          <w:i/>
          <w:iCs/>
          <w:color w:val="000000"/>
          <w:sz w:val="21"/>
          <w:szCs w:val="21"/>
        </w:rPr>
        <w:t>Schriver</w:t>
      </w:r>
      <w:proofErr w:type="spellEnd"/>
      <w:r>
        <w:rPr>
          <w:rFonts w:ascii="Palatino" w:eastAsia="Palatino" w:hAnsi="Palatino" w:cs="Palatino"/>
          <w:color w:val="000000"/>
          <w:sz w:val="21"/>
          <w:szCs w:val="21"/>
        </w:rPr>
        <w:t>, 255 F.3d 45, 57 (2d Cir. 2001)) (internal quotation marks omitted). Because Dr. Fabri’s testimony, if believed, negates an element of §1425(a), and because the trial testimony of Odeh and Williams would not necessarily undermine Dr. Fabri’s theory, we cannot uphold the district court’s ruling on the basis that Odeh was not prejudiced.</w:t>
      </w:r>
    </w:p>
    <w:p w14:paraId="00000093"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In support of its no-prejudice theory, the Government argues that Dr. Fabri’s testimony would have contradicted Odeh’s trial testimony. The Government reasons that Dr. Fabri would have testified that Odeh subconsciously blocked her torture in Israel when reading questions on the naturalization application and hearing questions during the interview, while Odeh testified that she misunderstood the questions and consciously decided that they referred only to her time in the United States. In a pretrial evidentiary hearing, Dr. Fabri testified that Odeh’s blocking of her memory would have been “automatic.” Dr. Fabri also stated that Odeh’s professed understanding of the questions is consistent with the symptoms of chronic PTSD. At trial, Odeh testified that if she had known that the questions referred to her time in Israel, she would have disclosed her criminal history in that country. Odeh also testified that her understanding of the questions was based in part on several questions in the application listed before the criminal history questions at issue in this case. Those questions were confined in scope to the United States. Odeh’s trial testimony is not as inconsistent with Dr. Fabri’s opinion as the Government argues, because Odeh’s decision about what the questions were asking, under Dr. Fabri’s theory, might have been shaped by the subconscious filtering of traumatic events in Israel. Odeh’s testimony would not necessarily contradict Dr. Fabri’s theory.</w:t>
      </w:r>
    </w:p>
    <w:p w14:paraId="00000094"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Odeh’s immigrant visa application and Williams’ testimony about the naturalization interview also do not prove that Odeh was not prejudiced. The Government suggests that Odeh knew that the statements on the naturalization application were false because she wrote the same “No” answers on </w:t>
      </w:r>
      <w:r>
        <w:rPr>
          <w:rFonts w:ascii="Palatino" w:eastAsia="Palatino" w:hAnsi="Palatino" w:cs="Palatino"/>
          <w:color w:val="000000"/>
          <w:sz w:val="21"/>
          <w:szCs w:val="21"/>
        </w:rPr>
        <w:lastRenderedPageBreak/>
        <w:t>the immigrant visa application before even moving to the United States. Odeh testified, however, that her brother helped her fill out the application because her English was limited, and that she therefore did not know that the answers were false. The Government also notes that in Odeh’s interview, Williams added “anywhere in the world” at the end of each criminal history question. Yet Odeh testified that she remembered clearly that Williams did not include this phrase. In sum, Odeh’s trial testimony conflicts with the Government’s reasons for why Odeh must have known that her answers were false. The omission of Dr. Fabri’s testimony can thus not be independently supported by a determination on appeal that there was no prejudice.</w:t>
      </w:r>
    </w:p>
    <w:p w14:paraId="00000095"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The Government’s third argument is that Dr. Fabri’s testimony is subject to the restrictions of the Insanity Defense Reform Act (IDRA). This claim, too, is without merit. The IDRA provides that</w:t>
      </w:r>
    </w:p>
    <w:p w14:paraId="00000096" w14:textId="77777777" w:rsidR="00AC267B" w:rsidRDefault="00000000">
      <w:pPr>
        <w:widowControl w:val="0"/>
        <w:pBdr>
          <w:top w:val="nil"/>
          <w:left w:val="nil"/>
          <w:bottom w:val="nil"/>
          <w:right w:val="nil"/>
          <w:between w:val="nil"/>
        </w:pBdr>
        <w:tabs>
          <w:tab w:val="left" w:pos="600"/>
        </w:tabs>
        <w:spacing w:before="120" w:after="120"/>
        <w:ind w:left="300" w:right="300"/>
        <w:jc w:val="both"/>
        <w:rPr>
          <w:rFonts w:ascii="Palatino" w:eastAsia="Palatino" w:hAnsi="Palatino" w:cs="Palatino"/>
          <w:color w:val="000000"/>
          <w:sz w:val="19"/>
          <w:szCs w:val="19"/>
        </w:rPr>
      </w:pPr>
      <w:r>
        <w:rPr>
          <w:rFonts w:ascii="Palatino" w:eastAsia="Palatino" w:hAnsi="Palatino" w:cs="Palatino"/>
          <w:color w:val="000000"/>
          <w:sz w:val="19"/>
          <w:szCs w:val="19"/>
        </w:rPr>
        <w:t>[</w:t>
      </w:r>
      <w:proofErr w:type="spellStart"/>
      <w:r>
        <w:rPr>
          <w:rFonts w:ascii="Palatino" w:eastAsia="Palatino" w:hAnsi="Palatino" w:cs="Palatino"/>
          <w:color w:val="000000"/>
          <w:sz w:val="19"/>
          <w:szCs w:val="19"/>
        </w:rPr>
        <w:t>i</w:t>
      </w:r>
      <w:proofErr w:type="spellEnd"/>
      <w:r>
        <w:rPr>
          <w:rFonts w:ascii="Palatino" w:eastAsia="Palatino" w:hAnsi="Palatino" w:cs="Palatino"/>
          <w:color w:val="000000"/>
          <w:sz w:val="19"/>
          <w:szCs w:val="19"/>
        </w:rPr>
        <w:t>]t is an affirmative defense to a prosecution under any Federal statute that, at the time of the commission of the acts constituting the offense, the defendant, as a result of a severe mental disease or defect, was unable to appreciate the nature and quality or the wrongfulness of his acts. Mental disease or defect does not otherwise constitute a defense.</w:t>
      </w:r>
    </w:p>
    <w:p w14:paraId="00000097"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18 U.S.C. §17(a). Under the IDRA, to prove insanity — an affirmative defense that absolves a defendant of liability even if the defendant is factually guilty — a defendant must “show, by clear and convincing evidence, that he was ‘unable to appreciate the nature and quality or the wrongfulness of his acts.’” </w:t>
      </w:r>
      <w:r>
        <w:rPr>
          <w:rFonts w:ascii="Palatino" w:eastAsia="Palatino" w:hAnsi="Palatino" w:cs="Palatino"/>
          <w:i/>
          <w:iCs/>
          <w:color w:val="000000"/>
          <w:sz w:val="21"/>
          <w:szCs w:val="21"/>
        </w:rPr>
        <w:t>Kimes</w:t>
      </w:r>
      <w:r>
        <w:rPr>
          <w:rFonts w:ascii="Palatino" w:eastAsia="Palatino" w:hAnsi="Palatino" w:cs="Palatino"/>
          <w:color w:val="000000"/>
          <w:sz w:val="21"/>
          <w:szCs w:val="21"/>
        </w:rPr>
        <w:t xml:space="preserve">, 246 F.3d at 806 (quoting §17(a)). Notwithstanding the IDRA’s restrictions on the use of mental defect evidence as a </w:t>
      </w:r>
      <w:r>
        <w:rPr>
          <w:rFonts w:ascii="Palatino" w:eastAsia="Palatino" w:hAnsi="Palatino" w:cs="Palatino"/>
          <w:i/>
          <w:iCs/>
          <w:color w:val="000000"/>
          <w:sz w:val="21"/>
          <w:szCs w:val="21"/>
        </w:rPr>
        <w:t>defense</w:t>
      </w:r>
      <w:r>
        <w:rPr>
          <w:rFonts w:ascii="Palatino" w:eastAsia="Palatino" w:hAnsi="Palatino" w:cs="Palatino"/>
          <w:color w:val="000000"/>
          <w:sz w:val="21"/>
          <w:szCs w:val="21"/>
        </w:rPr>
        <w:t xml:space="preserve">, evidence of a defendant’s diminished mental capacity remains admissible to prove that the defendant could not form the required </w:t>
      </w:r>
      <w:proofErr w:type="spellStart"/>
      <w:r>
        <w:rPr>
          <w:rFonts w:ascii="Palatino" w:eastAsia="Palatino" w:hAnsi="Palatino" w:cs="Palatino"/>
          <w:color w:val="000000"/>
          <w:sz w:val="21"/>
          <w:szCs w:val="21"/>
        </w:rPr>
        <w:t>mens</w:t>
      </w:r>
      <w:proofErr w:type="spellEnd"/>
      <w:r>
        <w:rPr>
          <w:rFonts w:ascii="Palatino" w:eastAsia="Palatino" w:hAnsi="Palatino" w:cs="Palatino"/>
          <w:color w:val="000000"/>
          <w:sz w:val="21"/>
          <w:szCs w:val="21"/>
        </w:rPr>
        <w:t xml:space="preserve"> rea. </w:t>
      </w:r>
      <w:r>
        <w:rPr>
          <w:rFonts w:ascii="Palatino" w:eastAsia="Palatino" w:hAnsi="Palatino" w:cs="Palatino"/>
          <w:i/>
          <w:iCs/>
          <w:color w:val="000000"/>
          <w:sz w:val="21"/>
          <w:szCs w:val="21"/>
        </w:rPr>
        <w:t>Id.</w:t>
      </w:r>
    </w:p>
    <w:p w14:paraId="00000098"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The Government argues that Odeh’s theory about why she did not know that her answers were false amounts to an insanity claim because Odeh was unable to appreciate the nature of her acts in answering the questions. However, in determining whether the IDRA’s procedures apply, courts must look to the purpose for which a defendant offers evidence. </w:t>
      </w:r>
      <w:r>
        <w:rPr>
          <w:rFonts w:ascii="Palatino" w:eastAsia="Palatino" w:hAnsi="Palatino" w:cs="Palatino"/>
          <w:i/>
          <w:iCs/>
          <w:color w:val="000000"/>
          <w:sz w:val="21"/>
          <w:szCs w:val="21"/>
        </w:rPr>
        <w:t>Id.</w:t>
      </w:r>
      <w:r>
        <w:rPr>
          <w:rFonts w:ascii="Palatino" w:eastAsia="Palatino" w:hAnsi="Palatino" w:cs="Palatino"/>
          <w:color w:val="000000"/>
          <w:sz w:val="21"/>
          <w:szCs w:val="21"/>
        </w:rPr>
        <w:t xml:space="preserve"> In </w:t>
      </w:r>
      <w:r>
        <w:rPr>
          <w:rFonts w:ascii="Palatino" w:eastAsia="Palatino" w:hAnsi="Palatino" w:cs="Palatino"/>
          <w:i/>
          <w:iCs/>
          <w:color w:val="000000"/>
          <w:sz w:val="21"/>
          <w:szCs w:val="21"/>
        </w:rPr>
        <w:t>Kimes</w:t>
      </w:r>
      <w:r>
        <w:rPr>
          <w:rFonts w:ascii="Palatino" w:eastAsia="Palatino" w:hAnsi="Palatino" w:cs="Palatino"/>
          <w:color w:val="000000"/>
          <w:sz w:val="21"/>
          <w:szCs w:val="21"/>
        </w:rPr>
        <w:t xml:space="preserve">, for instance, the expert’s opinion that the defendant was unable to control his actions looked like the foundation for an insanity defense. </w:t>
      </w:r>
      <w:r>
        <w:rPr>
          <w:rFonts w:ascii="Palatino" w:eastAsia="Palatino" w:hAnsi="Palatino" w:cs="Palatino"/>
          <w:i/>
          <w:iCs/>
          <w:color w:val="000000"/>
          <w:sz w:val="21"/>
          <w:szCs w:val="21"/>
        </w:rPr>
        <w:t>Id.</w:t>
      </w:r>
      <w:r>
        <w:rPr>
          <w:rFonts w:ascii="Palatino" w:eastAsia="Palatino" w:hAnsi="Palatino" w:cs="Palatino"/>
          <w:color w:val="000000"/>
          <w:sz w:val="21"/>
          <w:szCs w:val="21"/>
        </w:rPr>
        <w:t xml:space="preserve"> Yet because the defendant offered the evidence only to negate his </w:t>
      </w:r>
      <w:proofErr w:type="spellStart"/>
      <w:r>
        <w:rPr>
          <w:rFonts w:ascii="Palatino" w:eastAsia="Palatino" w:hAnsi="Palatino" w:cs="Palatino"/>
          <w:color w:val="000000"/>
          <w:sz w:val="21"/>
          <w:szCs w:val="21"/>
        </w:rPr>
        <w:t>mens</w:t>
      </w:r>
      <w:proofErr w:type="spellEnd"/>
      <w:r>
        <w:rPr>
          <w:rFonts w:ascii="Palatino" w:eastAsia="Palatino" w:hAnsi="Palatino" w:cs="Palatino"/>
          <w:color w:val="000000"/>
          <w:sz w:val="21"/>
          <w:szCs w:val="21"/>
        </w:rPr>
        <w:t xml:space="preserve"> rea, not as an affirmative defense, we held that the IDRA did not exclude that evidence. </w:t>
      </w:r>
      <w:r>
        <w:rPr>
          <w:rFonts w:ascii="Palatino" w:eastAsia="Palatino" w:hAnsi="Palatino" w:cs="Palatino"/>
          <w:i/>
          <w:iCs/>
          <w:color w:val="000000"/>
          <w:sz w:val="21"/>
          <w:szCs w:val="21"/>
        </w:rPr>
        <w:t>Id.</w:t>
      </w:r>
      <w:r>
        <w:rPr>
          <w:rFonts w:ascii="Palatino" w:eastAsia="Palatino" w:hAnsi="Palatino" w:cs="Palatino"/>
          <w:color w:val="000000"/>
          <w:sz w:val="21"/>
          <w:szCs w:val="21"/>
        </w:rPr>
        <w:t xml:space="preserve"> In this case, Odeh did not offer Dr. Fabri’s testimony as a defense that might absolve her of criminal responsibility. Instead, Odeh sought to introduce the testimony to prove that she did not possess the required mental state. The IDRA’s procedures therefore do not govern Odeh’s claim.</w:t>
      </w:r>
    </w:p>
    <w:p w14:paraId="00000099"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 .</w:t>
      </w:r>
    </w:p>
    <w:p w14:paraId="0000009A" w14:textId="77777777" w:rsidR="00AC267B" w:rsidRDefault="00000000">
      <w:pPr>
        <w:widowControl w:val="0"/>
        <w:pBdr>
          <w:top w:val="nil"/>
          <w:left w:val="nil"/>
          <w:bottom w:val="nil"/>
          <w:right w:val="nil"/>
          <w:between w:val="nil"/>
        </w:pBdr>
        <w:tabs>
          <w:tab w:val="left" w:pos="300"/>
        </w:tabs>
        <w:spacing w:before="180" w:after="120"/>
        <w:jc w:val="center"/>
        <w:rPr>
          <w:rFonts w:ascii="Palatino" w:eastAsia="Palatino" w:hAnsi="Palatino" w:cs="Palatino"/>
          <w:color w:val="000000"/>
          <w:sz w:val="22"/>
          <w:szCs w:val="22"/>
        </w:rPr>
      </w:pPr>
      <w:r>
        <w:rPr>
          <w:rFonts w:ascii="Palatino" w:eastAsia="Palatino" w:hAnsi="Palatino" w:cs="Palatino"/>
          <w:color w:val="000000"/>
          <w:sz w:val="22"/>
          <w:szCs w:val="22"/>
        </w:rPr>
        <w:t>III.</w:t>
      </w:r>
    </w:p>
    <w:p w14:paraId="0000009B" w14:textId="77777777" w:rsidR="00AC267B" w:rsidRDefault="00000000">
      <w:pPr>
        <w:widowControl w:val="0"/>
        <w:pBdr>
          <w:top w:val="nil"/>
          <w:left w:val="nil"/>
          <w:bottom w:val="nil"/>
          <w:right w:val="nil"/>
          <w:between w:val="nil"/>
        </w:pBdr>
        <w:tabs>
          <w:tab w:val="left" w:pos="300"/>
        </w:tabs>
        <w:spacing w:after="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Lastly, Odeh’s eighteen-month sentence is not procedurally or substantively unreasonable. Odeh maintains that the district court should have further considered her history and characteristics — including her age of sixty-seven at sentencing, PTSD, social work, and alleged torture — and that she would be deported as a result of her conviction. Sentencing decisions are reviewed for abuse of discretion. </w:t>
      </w:r>
      <w:r>
        <w:rPr>
          <w:rFonts w:ascii="Palatino" w:eastAsia="Palatino" w:hAnsi="Palatino" w:cs="Palatino"/>
          <w:i/>
          <w:iCs/>
          <w:color w:val="000000"/>
          <w:sz w:val="21"/>
          <w:szCs w:val="21"/>
        </w:rPr>
        <w:t>United States v. Wright</w:t>
      </w:r>
      <w:r>
        <w:rPr>
          <w:rFonts w:ascii="Palatino" w:eastAsia="Palatino" w:hAnsi="Palatino" w:cs="Palatino"/>
          <w:color w:val="000000"/>
          <w:sz w:val="21"/>
          <w:szCs w:val="21"/>
        </w:rPr>
        <w:t>, 747 F.3d 399, 413 (6th Cir. 2014). The district court did not abuse its discretion in imposing a sentence in the middle of the advisory Guidelines range of fifteen to twenty-one months.</w:t>
      </w:r>
    </w:p>
    <w:p w14:paraId="0000009C"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proofErr w:type="gramStart"/>
      <w:r>
        <w:rPr>
          <w:rFonts w:ascii="Palatino" w:eastAsia="Palatino" w:hAnsi="Palatino" w:cs="Palatino"/>
          <w:color w:val="000000"/>
          <w:sz w:val="21"/>
          <w:szCs w:val="21"/>
        </w:rPr>
        <w:t>. . . .The</w:t>
      </w:r>
      <w:proofErr w:type="gramEnd"/>
      <w:r>
        <w:rPr>
          <w:rFonts w:ascii="Palatino" w:eastAsia="Palatino" w:hAnsi="Palatino" w:cs="Palatino"/>
          <w:color w:val="000000"/>
          <w:sz w:val="21"/>
          <w:szCs w:val="21"/>
        </w:rPr>
        <w:t xml:space="preserve"> court noted that although Odeh’s history “include[s] some terrorist[ ] activities,” she had “been involved in doing a lot of good work[ ] in helping Arab immigrant women in the Chicago area” </w:t>
      </w:r>
      <w:r>
        <w:rPr>
          <w:rFonts w:ascii="Palatino" w:eastAsia="Palatino" w:hAnsi="Palatino" w:cs="Palatino"/>
          <w:color w:val="000000"/>
          <w:sz w:val="21"/>
          <w:szCs w:val="21"/>
        </w:rPr>
        <w:lastRenderedPageBreak/>
        <w:t>in the recent past and had been “reformed.” The court further acknowledged that it had received letters from people across the United States on Odeh’s behalf, and the court commended Odeh for her social work. Notwithstanding Odeh’s social work and reputation, however, the court noted that “Odeh lied under oath to get an immigration visa and to become a U.S. Citizen,” and found that she perjured herself on the stand and refused to follow the court’s instructions about off-limits topics. Finally, the court stated that although the case had been politicized by Odeh, the Israeli-Palestinian conflict was irrelevant because the case was about Odeh unlawfully procuring citizenship. In sum, the court properly considered Odeh’s history, social work, and other relevant characteristics, as well as the remaining §3553(a) factors.</w:t>
      </w:r>
    </w:p>
    <w:p w14:paraId="0000009D"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 xml:space="preserve">Odeh’s last argument is that the district court should have taken into account the fact that her citizenship would be revoked. No court, however, has </w:t>
      </w:r>
      <w:r>
        <w:rPr>
          <w:rFonts w:ascii="Palatino" w:eastAsia="Palatino" w:hAnsi="Palatino" w:cs="Palatino"/>
          <w:i/>
          <w:iCs/>
          <w:color w:val="000000"/>
          <w:sz w:val="21"/>
          <w:szCs w:val="21"/>
        </w:rPr>
        <w:t>required</w:t>
      </w:r>
      <w:r>
        <w:rPr>
          <w:rFonts w:ascii="Palatino" w:eastAsia="Palatino" w:hAnsi="Palatino" w:cs="Palatino"/>
          <w:color w:val="000000"/>
          <w:sz w:val="21"/>
          <w:szCs w:val="21"/>
        </w:rPr>
        <w:t xml:space="preserve"> a sentencing court to consider the possibility of a defendant’s deportation at sentencing. In fact, some courts have held that doing so is categorically impermissible</w:t>
      </w:r>
      <w:proofErr w:type="gramStart"/>
      <w:r>
        <w:rPr>
          <w:rFonts w:ascii="Palatino" w:eastAsia="Palatino" w:hAnsi="Palatino" w:cs="Palatino"/>
          <w:color w:val="000000"/>
          <w:sz w:val="21"/>
          <w:szCs w:val="21"/>
        </w:rPr>
        <w:t>. </w:t>
      </w:r>
      <w:r>
        <w:rPr>
          <w:rFonts w:ascii="Palatino" w:eastAsia="Palatino" w:hAnsi="Palatino" w:cs="Palatino"/>
          <w:i/>
          <w:iCs/>
          <w:color w:val="000000"/>
          <w:sz w:val="21"/>
          <w:szCs w:val="21"/>
        </w:rPr>
        <w:t>. . .</w:t>
      </w:r>
      <w:proofErr w:type="gramEnd"/>
    </w:p>
    <w:p w14:paraId="0000009E"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Our reversal is based on the categorical exclusion of PTSD-related evidence because §1425(a) was deemed to be a general-intent crime. We do not address other possible bases for excluding the evidence, under evidentiary standards such as those identified by the district court in its order discussing the use of PTSD testimony in federal and state courts. Nor do we prescribe whether a new trial would be required once the evidentiary determination has been made.</w:t>
      </w:r>
    </w:p>
    <w:p w14:paraId="0000009F" w14:textId="77777777" w:rsidR="00AC267B" w:rsidRDefault="00000000">
      <w:pPr>
        <w:widowControl w:val="0"/>
        <w:pBdr>
          <w:top w:val="nil"/>
          <w:left w:val="nil"/>
          <w:bottom w:val="nil"/>
          <w:right w:val="nil"/>
          <w:between w:val="nil"/>
        </w:pBdr>
        <w:tabs>
          <w:tab w:val="left" w:pos="300"/>
        </w:tabs>
        <w:spacing w:after="0"/>
        <w:ind w:firstLine="300"/>
        <w:jc w:val="both"/>
        <w:rPr>
          <w:rFonts w:ascii="Palatino" w:eastAsia="Palatino" w:hAnsi="Palatino" w:cs="Palatino"/>
          <w:color w:val="000000"/>
          <w:sz w:val="21"/>
          <w:szCs w:val="21"/>
        </w:rPr>
      </w:pPr>
      <w:r>
        <w:rPr>
          <w:rFonts w:ascii="Palatino" w:eastAsia="Palatino" w:hAnsi="Palatino" w:cs="Palatino"/>
          <w:color w:val="000000"/>
          <w:sz w:val="21"/>
          <w:szCs w:val="21"/>
        </w:rPr>
        <w:t>The judgment of the district court is vacated, and the case is remanded for proceedings consistent with this opinion</w:t>
      </w:r>
      <w:proofErr w:type="gramStart"/>
      <w:r>
        <w:rPr>
          <w:rFonts w:ascii="Palatino" w:eastAsia="Palatino" w:hAnsi="Palatino" w:cs="Palatino"/>
          <w:color w:val="000000"/>
          <w:sz w:val="21"/>
          <w:szCs w:val="21"/>
        </w:rPr>
        <w:t>. . . .</w:t>
      </w:r>
      <w:proofErr w:type="gramEnd"/>
    </w:p>
    <w:p w14:paraId="000000A0" w14:textId="77777777" w:rsidR="00AC267B" w:rsidRDefault="00AC267B"/>
    <w:sectPr w:rsidR="00AC267B">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20437" w14:textId="77777777" w:rsidR="00700DC5" w:rsidRDefault="00700DC5">
      <w:pPr>
        <w:spacing w:after="0" w:line="240" w:lineRule="auto"/>
      </w:pPr>
      <w:r>
        <w:separator/>
      </w:r>
    </w:p>
  </w:endnote>
  <w:endnote w:type="continuationSeparator" w:id="0">
    <w:p w14:paraId="31849F77" w14:textId="77777777" w:rsidR="00700DC5" w:rsidRDefault="00700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charset w:val="00"/>
    <w:family w:val="auto"/>
    <w:pitch w:val="default"/>
    <w:embedRegular r:id="rId1" w:fontKey="{430FB1F2-5589-4951-AEC2-85E6B48C7CC6}"/>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2" w:fontKey="{D3CFD91B-3B72-4BE0-BE12-7912E230A03D}"/>
    <w:embedBold r:id="rId3" w:fontKey="{154258EC-CBE1-4980-B5E3-CE2CC4382477}"/>
    <w:embedItalic r:id="rId4" w:fontKey="{73F414C0-EC0B-4306-AE7B-89FE2F38AD06}"/>
  </w:font>
  <w:font w:name="Play">
    <w:charset w:val="00"/>
    <w:family w:val="auto"/>
    <w:pitch w:val="default"/>
    <w:embedRegular r:id="rId5" w:fontKey="{9F6064C8-3EB9-44E4-93D8-A9D157D0BC59}"/>
  </w:font>
  <w:font w:name="Aptos Display">
    <w:charset w:val="00"/>
    <w:family w:val="swiss"/>
    <w:pitch w:val="variable"/>
    <w:sig w:usb0="20000287" w:usb1="00000003" w:usb2="00000000" w:usb3="00000000" w:csb0="0000019F" w:csb1="00000000"/>
    <w:embedRegular r:id="rId6" w:fontKey="{453AD653-ACAC-467D-90E3-D69F8522E939}"/>
  </w:font>
  <w:font w:name="MyriadPro-Regular">
    <w:panose1 w:val="00000000000000000000"/>
    <w:charset w:val="00"/>
    <w:family w:val="roman"/>
    <w:notTrueType/>
    <w:pitch w:val="default"/>
  </w:font>
  <w:font w:name="PalatinoLTStd-Roman">
    <w:panose1 w:val="00000000000000000000"/>
    <w:charset w:val="00"/>
    <w:family w:val="roman"/>
    <w:notTrueType/>
    <w:pitch w:val="default"/>
  </w:font>
  <w:font w:name="PalatinoLTStd-Bold">
    <w:panose1 w:val="00000000000000000000"/>
    <w:charset w:val="00"/>
    <w:family w:val="roman"/>
    <w:notTrueType/>
    <w:pitch w:val="default"/>
  </w:font>
  <w:font w:name="PalatinoLTStd-MediumItalic">
    <w:panose1 w:val="00000000000000000000"/>
    <w:charset w:val="00"/>
    <w:family w:val="roman"/>
    <w:notTrueType/>
    <w:pitch w:val="default"/>
  </w:font>
  <w:font w:name="PalatinoLTStd-Medium">
    <w:panose1 w:val="00000000000000000000"/>
    <w:charset w:val="00"/>
    <w:family w:val="roman"/>
    <w:notTrueType/>
    <w:pitch w:val="default"/>
  </w:font>
  <w:font w:name="Palatino">
    <w:altName w:val="Book Antiqua"/>
    <w:charset w:val="00"/>
    <w:family w:val="auto"/>
    <w:pitch w:val="default"/>
  </w:font>
  <w:font w:name="Open Sans">
    <w:charset w:val="00"/>
    <w:family w:val="swiss"/>
    <w:pitch w:val="variable"/>
    <w:sig w:usb0="E00002EF" w:usb1="4000205B" w:usb2="00000028" w:usb3="00000000" w:csb0="0000019F" w:csb1="00000000"/>
    <w:embedRegular r:id="rId7" w:fontKey="{22CFE9C7-C3B5-4BD1-83EA-3DA0F3978DE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01482" w14:textId="77777777" w:rsidR="00700DC5" w:rsidRDefault="00700DC5">
      <w:pPr>
        <w:spacing w:after="0" w:line="240" w:lineRule="auto"/>
      </w:pPr>
      <w:r>
        <w:separator/>
      </w:r>
    </w:p>
  </w:footnote>
  <w:footnote w:type="continuationSeparator" w:id="0">
    <w:p w14:paraId="30A41C59" w14:textId="77777777" w:rsidR="00700DC5" w:rsidRDefault="00700DC5">
      <w:pPr>
        <w:spacing w:after="0" w:line="240" w:lineRule="auto"/>
      </w:pPr>
      <w:r>
        <w:continuationSeparator/>
      </w:r>
    </w:p>
  </w:footnote>
  <w:footnote w:id="1">
    <w:p w14:paraId="000000A1" w14:textId="77777777" w:rsidR="00AC267B" w:rsidRDefault="00000000">
      <w:pPr>
        <w:pBdr>
          <w:top w:val="nil"/>
          <w:left w:val="nil"/>
          <w:bottom w:val="nil"/>
          <w:right w:val="nil"/>
          <w:between w:val="nil"/>
        </w:pBdr>
        <w:spacing w:line="259" w:lineRule="auto"/>
        <w:rPr>
          <w:color w:val="000000"/>
          <w:sz w:val="20"/>
          <w:szCs w:val="20"/>
        </w:rPr>
      </w:pPr>
      <w:r>
        <w:rPr>
          <w:rStyle w:val="FootnoteReference"/>
        </w:rPr>
        <w:footnoteRef/>
      </w:r>
      <w:r>
        <w:rPr>
          <w:color w:val="000000"/>
          <w:sz w:val="20"/>
          <w:szCs w:val="20"/>
        </w:rPr>
        <w:t xml:space="preserve"> Kevin Lapp, </w:t>
      </w:r>
      <w:r>
        <w:rPr>
          <w:i/>
          <w:iCs/>
          <w:color w:val="000000"/>
          <w:sz w:val="20"/>
          <w:szCs w:val="20"/>
        </w:rPr>
        <w:t>Reforming the Good Moral Character Requirement for U.S. Citizenship</w:t>
      </w:r>
      <w:r>
        <w:rPr>
          <w:color w:val="000000"/>
          <w:sz w:val="20"/>
          <w:szCs w:val="20"/>
        </w:rPr>
        <w:t>, 87 Ind. L.J. 1571, 1587-1589, 1611 (2012).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57E47"/>
    <w:multiLevelType w:val="multilevel"/>
    <w:tmpl w:val="96C8F2D8"/>
    <w:lvl w:ilvl="0">
      <w:start w:val="1"/>
      <w:numFmt w:val="bullet"/>
      <w:lvlText w:val="●"/>
      <w:lvlJc w:val="left"/>
      <w:pPr>
        <w:ind w:left="1020" w:hanging="360"/>
      </w:pPr>
      <w:rPr>
        <w:rFonts w:ascii="Noto Sans Symbols" w:eastAsia="Noto Sans Symbols" w:hAnsi="Noto Sans Symbols" w:cs="Noto Sans Symbols"/>
      </w:rPr>
    </w:lvl>
    <w:lvl w:ilvl="1">
      <w:start w:val="1"/>
      <w:numFmt w:val="bullet"/>
      <w:lvlText w:val="o"/>
      <w:lvlJc w:val="left"/>
      <w:pPr>
        <w:ind w:left="1740" w:hanging="360"/>
      </w:pPr>
      <w:rPr>
        <w:rFonts w:ascii="Courier New" w:eastAsia="Courier New" w:hAnsi="Courier New" w:cs="Courier New"/>
      </w:rPr>
    </w:lvl>
    <w:lvl w:ilvl="2">
      <w:start w:val="1"/>
      <w:numFmt w:val="bullet"/>
      <w:lvlText w:val="▪"/>
      <w:lvlJc w:val="left"/>
      <w:pPr>
        <w:ind w:left="2460" w:hanging="360"/>
      </w:pPr>
      <w:rPr>
        <w:rFonts w:ascii="Noto Sans Symbols" w:eastAsia="Noto Sans Symbols" w:hAnsi="Noto Sans Symbols" w:cs="Noto Sans Symbols"/>
      </w:rPr>
    </w:lvl>
    <w:lvl w:ilvl="3">
      <w:start w:val="1"/>
      <w:numFmt w:val="bullet"/>
      <w:lvlText w:val="●"/>
      <w:lvlJc w:val="left"/>
      <w:pPr>
        <w:ind w:left="3180" w:hanging="360"/>
      </w:pPr>
      <w:rPr>
        <w:rFonts w:ascii="Noto Sans Symbols" w:eastAsia="Noto Sans Symbols" w:hAnsi="Noto Sans Symbols" w:cs="Noto Sans Symbols"/>
      </w:rPr>
    </w:lvl>
    <w:lvl w:ilvl="4">
      <w:start w:val="1"/>
      <w:numFmt w:val="bullet"/>
      <w:lvlText w:val="o"/>
      <w:lvlJc w:val="left"/>
      <w:pPr>
        <w:ind w:left="3900" w:hanging="360"/>
      </w:pPr>
      <w:rPr>
        <w:rFonts w:ascii="Courier New" w:eastAsia="Courier New" w:hAnsi="Courier New" w:cs="Courier New"/>
      </w:rPr>
    </w:lvl>
    <w:lvl w:ilvl="5">
      <w:start w:val="1"/>
      <w:numFmt w:val="bullet"/>
      <w:lvlText w:val="▪"/>
      <w:lvlJc w:val="left"/>
      <w:pPr>
        <w:ind w:left="4620" w:hanging="360"/>
      </w:pPr>
      <w:rPr>
        <w:rFonts w:ascii="Noto Sans Symbols" w:eastAsia="Noto Sans Symbols" w:hAnsi="Noto Sans Symbols" w:cs="Noto Sans Symbols"/>
      </w:rPr>
    </w:lvl>
    <w:lvl w:ilvl="6">
      <w:start w:val="1"/>
      <w:numFmt w:val="bullet"/>
      <w:lvlText w:val="●"/>
      <w:lvlJc w:val="left"/>
      <w:pPr>
        <w:ind w:left="5340" w:hanging="360"/>
      </w:pPr>
      <w:rPr>
        <w:rFonts w:ascii="Noto Sans Symbols" w:eastAsia="Noto Sans Symbols" w:hAnsi="Noto Sans Symbols" w:cs="Noto Sans Symbols"/>
      </w:rPr>
    </w:lvl>
    <w:lvl w:ilvl="7">
      <w:start w:val="1"/>
      <w:numFmt w:val="bullet"/>
      <w:lvlText w:val="o"/>
      <w:lvlJc w:val="left"/>
      <w:pPr>
        <w:ind w:left="6060" w:hanging="360"/>
      </w:pPr>
      <w:rPr>
        <w:rFonts w:ascii="Courier New" w:eastAsia="Courier New" w:hAnsi="Courier New" w:cs="Courier New"/>
      </w:rPr>
    </w:lvl>
    <w:lvl w:ilvl="8">
      <w:start w:val="1"/>
      <w:numFmt w:val="bullet"/>
      <w:lvlText w:val="▪"/>
      <w:lvlJc w:val="left"/>
      <w:pPr>
        <w:ind w:left="6780" w:hanging="360"/>
      </w:pPr>
      <w:rPr>
        <w:rFonts w:ascii="Noto Sans Symbols" w:eastAsia="Noto Sans Symbols" w:hAnsi="Noto Sans Symbols" w:cs="Noto Sans Symbols"/>
      </w:rPr>
    </w:lvl>
  </w:abstractNum>
  <w:abstractNum w:abstractNumId="1" w15:restartNumberingAfterBreak="0">
    <w:nsid w:val="528D3EEA"/>
    <w:multiLevelType w:val="hybridMultilevel"/>
    <w:tmpl w:val="379E26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8721922">
    <w:abstractNumId w:val="0"/>
  </w:num>
  <w:num w:numId="2" w16cid:durableId="158734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67B"/>
    <w:rsid w:val="00700DC5"/>
    <w:rsid w:val="009D79C8"/>
    <w:rsid w:val="00AC267B"/>
    <w:rsid w:val="00FE0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BB88"/>
  <w15:docId w15:val="{DD538C32-274F-4DB5-AA88-4931EA4F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eastAsia="Aptos" w:hAnsi="Aptos" w:cs="Aptos"/>
        <w:sz w:val="24"/>
        <w:szCs w:val="24"/>
        <w:lang w:val="en"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Play" w:eastAsia="Play" w:hAnsi="Play" w:cs="Play"/>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Play" w:eastAsia="Play" w:hAnsi="Play" w:cs="Play"/>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i/>
      <w:iCs/>
      <w:color w:val="595959"/>
    </w:rPr>
  </w:style>
  <w:style w:type="paragraph" w:styleId="Heading7">
    <w:name w:val="heading 7"/>
    <w:basedOn w:val="Normal"/>
    <w:next w:val="Normal"/>
    <w:link w:val="Heading7Char"/>
    <w:uiPriority w:val="9"/>
    <w:semiHidden/>
    <w:unhideWhenUsed/>
    <w:qFormat/>
    <w:rsid w:val="00E07B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7B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7B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spacing w:after="80" w:line="240" w:lineRule="auto"/>
    </w:pPr>
    <w:rPr>
      <w:rFonts w:ascii="Play" w:eastAsia="Play" w:hAnsi="Play" w:cs="Play"/>
      <w:sz w:val="56"/>
      <w:szCs w:val="56"/>
    </w:rPr>
  </w:style>
  <w:style w:type="character" w:customStyle="1" w:styleId="Heading1Char">
    <w:name w:val="Heading 1 Char"/>
    <w:basedOn w:val="DefaultParagraphFont"/>
    <w:link w:val="Heading1"/>
    <w:uiPriority w:val="9"/>
    <w:rsid w:val="00E07B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7B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7B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7B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7B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7B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7B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7B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7BD1"/>
    <w:rPr>
      <w:rFonts w:eastAsiaTheme="majorEastAsia" w:cstheme="majorBidi"/>
      <w:color w:val="272727" w:themeColor="text1" w:themeTint="D8"/>
    </w:rPr>
  </w:style>
  <w:style w:type="character" w:customStyle="1" w:styleId="TitleChar">
    <w:name w:val="Title Char"/>
    <w:basedOn w:val="DefaultParagraphFont"/>
    <w:link w:val="Title"/>
    <w:uiPriority w:val="10"/>
    <w:rsid w:val="00E07BD1"/>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E07B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7BD1"/>
    <w:pPr>
      <w:spacing w:before="160"/>
      <w:jc w:val="center"/>
    </w:pPr>
    <w:rPr>
      <w:i/>
      <w:iCs/>
      <w:color w:val="404040" w:themeColor="text1" w:themeTint="BF"/>
    </w:rPr>
  </w:style>
  <w:style w:type="character" w:customStyle="1" w:styleId="QuoteChar">
    <w:name w:val="Quote Char"/>
    <w:basedOn w:val="DefaultParagraphFont"/>
    <w:link w:val="Quote"/>
    <w:uiPriority w:val="29"/>
    <w:rsid w:val="00E07BD1"/>
    <w:rPr>
      <w:i/>
      <w:iCs/>
      <w:color w:val="404040" w:themeColor="text1" w:themeTint="BF"/>
    </w:rPr>
  </w:style>
  <w:style w:type="paragraph" w:styleId="ListParagraph">
    <w:name w:val="List Paragraph"/>
    <w:basedOn w:val="Normal"/>
    <w:uiPriority w:val="34"/>
    <w:qFormat/>
    <w:rsid w:val="00E07BD1"/>
    <w:pPr>
      <w:ind w:left="720"/>
      <w:contextualSpacing/>
    </w:pPr>
  </w:style>
  <w:style w:type="character" w:styleId="IntenseEmphasis">
    <w:name w:val="Intense Emphasis"/>
    <w:basedOn w:val="DefaultParagraphFont"/>
    <w:uiPriority w:val="21"/>
    <w:qFormat/>
    <w:rsid w:val="00E07BD1"/>
    <w:rPr>
      <w:i/>
      <w:iCs/>
      <w:color w:val="0F4761" w:themeColor="accent1" w:themeShade="BF"/>
    </w:rPr>
  </w:style>
  <w:style w:type="paragraph" w:styleId="IntenseQuote">
    <w:name w:val="Intense Quote"/>
    <w:basedOn w:val="Normal"/>
    <w:next w:val="Normal"/>
    <w:link w:val="IntenseQuoteChar"/>
    <w:uiPriority w:val="30"/>
    <w:qFormat/>
    <w:rsid w:val="00E07B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7BD1"/>
    <w:rPr>
      <w:i/>
      <w:iCs/>
      <w:color w:val="0F4761" w:themeColor="accent1" w:themeShade="BF"/>
    </w:rPr>
  </w:style>
  <w:style w:type="character" w:styleId="IntenseReference">
    <w:name w:val="Intense Reference"/>
    <w:basedOn w:val="DefaultParagraphFont"/>
    <w:uiPriority w:val="32"/>
    <w:qFormat/>
    <w:rsid w:val="00E07BD1"/>
    <w:rPr>
      <w:b/>
      <w:bCs/>
      <w:smallCaps/>
      <w:color w:val="0F4761" w:themeColor="accent1" w:themeShade="BF"/>
      <w:spacing w:val="5"/>
    </w:rPr>
  </w:style>
  <w:style w:type="paragraph" w:customStyle="1" w:styleId="CASEH2">
    <w:name w:val="CASE_H2"/>
    <w:basedOn w:val="Normal"/>
    <w:uiPriority w:val="99"/>
    <w:rsid w:val="00E07BD1"/>
    <w:pPr>
      <w:widowControl w:val="0"/>
      <w:tabs>
        <w:tab w:val="left" w:pos="300"/>
      </w:tabs>
      <w:suppressAutoHyphens/>
      <w:autoSpaceDE w:val="0"/>
      <w:autoSpaceDN w:val="0"/>
      <w:adjustRightInd w:val="0"/>
      <w:spacing w:after="180" w:line="220" w:lineRule="atLeast"/>
      <w:jc w:val="center"/>
      <w:textAlignment w:val="center"/>
    </w:pPr>
    <w:rPr>
      <w:rFonts w:ascii="MyriadPro-Regular" w:eastAsiaTheme="minorEastAsia" w:hAnsi="MyriadPro-Regular" w:cs="MyriadPro-Regular"/>
      <w:color w:val="A73439"/>
      <w:sz w:val="19"/>
      <w:szCs w:val="19"/>
      <w:lang w:eastAsia="en-IN"/>
    </w:rPr>
  </w:style>
  <w:style w:type="paragraph" w:customStyle="1" w:styleId="CASETXNI">
    <w:name w:val="CASE_TXNI"/>
    <w:basedOn w:val="Normal"/>
    <w:uiPriority w:val="99"/>
    <w:rsid w:val="00E07BD1"/>
    <w:pPr>
      <w:widowControl w:val="0"/>
      <w:tabs>
        <w:tab w:val="left" w:pos="300"/>
      </w:tabs>
      <w:suppressAutoHyphens/>
      <w:autoSpaceDE w:val="0"/>
      <w:autoSpaceDN w:val="0"/>
      <w:adjustRightInd w:val="0"/>
      <w:spacing w:after="0" w:line="260" w:lineRule="atLeast"/>
      <w:jc w:val="both"/>
      <w:textAlignment w:val="center"/>
    </w:pPr>
    <w:rPr>
      <w:rFonts w:ascii="PalatinoLTStd-Roman" w:eastAsiaTheme="minorEastAsia" w:hAnsi="PalatinoLTStd-Roman" w:cs="PalatinoLTStd-Roman"/>
      <w:color w:val="000000"/>
      <w:sz w:val="21"/>
      <w:szCs w:val="21"/>
      <w:lang w:eastAsia="en-IN"/>
    </w:rPr>
  </w:style>
  <w:style w:type="paragraph" w:customStyle="1" w:styleId="CASETXT">
    <w:name w:val="CASE_TXT"/>
    <w:basedOn w:val="Normal"/>
    <w:uiPriority w:val="99"/>
    <w:rsid w:val="00E07BD1"/>
    <w:pPr>
      <w:widowControl w:val="0"/>
      <w:tabs>
        <w:tab w:val="left" w:pos="300"/>
      </w:tabs>
      <w:suppressAutoHyphens/>
      <w:autoSpaceDE w:val="0"/>
      <w:autoSpaceDN w:val="0"/>
      <w:adjustRightInd w:val="0"/>
      <w:spacing w:after="0" w:line="260" w:lineRule="atLeast"/>
      <w:ind w:firstLine="300"/>
      <w:jc w:val="both"/>
      <w:textAlignment w:val="center"/>
    </w:pPr>
    <w:rPr>
      <w:rFonts w:ascii="PalatinoLTStd-Roman" w:eastAsiaTheme="minorEastAsia" w:hAnsi="PalatinoLTStd-Roman" w:cs="PalatinoLTStd-Roman"/>
      <w:color w:val="000000"/>
      <w:sz w:val="21"/>
      <w:szCs w:val="21"/>
      <w:lang w:eastAsia="en-IN"/>
    </w:rPr>
  </w:style>
  <w:style w:type="paragraph" w:customStyle="1" w:styleId="NEPQH1">
    <w:name w:val="NEPQ_H1"/>
    <w:basedOn w:val="Normal"/>
    <w:uiPriority w:val="99"/>
    <w:rsid w:val="00E07BD1"/>
    <w:pPr>
      <w:keepNext/>
      <w:keepLines/>
      <w:widowControl w:val="0"/>
      <w:tabs>
        <w:tab w:val="left" w:pos="300"/>
      </w:tabs>
      <w:suppressAutoHyphens/>
      <w:autoSpaceDE w:val="0"/>
      <w:autoSpaceDN w:val="0"/>
      <w:adjustRightInd w:val="0"/>
      <w:spacing w:before="480" w:after="120" w:line="260" w:lineRule="atLeast"/>
      <w:jc w:val="center"/>
      <w:textAlignment w:val="center"/>
    </w:pPr>
    <w:rPr>
      <w:rFonts w:ascii="PalatinoLTStd-Bold" w:eastAsiaTheme="minorEastAsia" w:hAnsi="PalatinoLTStd-Bold" w:cs="PalatinoLTStd-Bold"/>
      <w:b/>
      <w:bCs/>
      <w:caps/>
      <w:color w:val="A73439"/>
      <w:lang w:eastAsia="en-IN"/>
    </w:rPr>
  </w:style>
  <w:style w:type="paragraph" w:customStyle="1" w:styleId="NEPQNL1mid">
    <w:name w:val="NEPQ_NL1_mid"/>
    <w:basedOn w:val="Normal"/>
    <w:uiPriority w:val="99"/>
    <w:rsid w:val="00E07BD1"/>
    <w:pPr>
      <w:widowControl w:val="0"/>
      <w:tabs>
        <w:tab w:val="right" w:pos="480"/>
      </w:tabs>
      <w:suppressAutoHyphens/>
      <w:autoSpaceDE w:val="0"/>
      <w:autoSpaceDN w:val="0"/>
      <w:adjustRightInd w:val="0"/>
      <w:spacing w:after="0" w:line="260" w:lineRule="atLeast"/>
      <w:ind w:left="600" w:hanging="300"/>
      <w:jc w:val="both"/>
      <w:textAlignment w:val="center"/>
    </w:pPr>
    <w:rPr>
      <w:rFonts w:ascii="PalatinoLTStd-Roman" w:eastAsiaTheme="minorEastAsia" w:hAnsi="PalatinoLTStd-Roman" w:cs="PalatinoLTStd-Roman"/>
      <w:color w:val="000000"/>
      <w:sz w:val="21"/>
      <w:szCs w:val="21"/>
      <w:lang w:eastAsia="en-IN"/>
    </w:rPr>
  </w:style>
  <w:style w:type="paragraph" w:customStyle="1" w:styleId="CASEH1">
    <w:name w:val="CASE_H1"/>
    <w:basedOn w:val="Normal"/>
    <w:uiPriority w:val="99"/>
    <w:rsid w:val="00E07BD1"/>
    <w:pPr>
      <w:widowControl w:val="0"/>
      <w:pBdr>
        <w:top w:val="single" w:sz="4" w:space="28" w:color="A73439"/>
      </w:pBdr>
      <w:tabs>
        <w:tab w:val="left" w:pos="300"/>
      </w:tabs>
      <w:suppressAutoHyphens/>
      <w:autoSpaceDE w:val="0"/>
      <w:autoSpaceDN w:val="0"/>
      <w:adjustRightInd w:val="0"/>
      <w:spacing w:before="480" w:after="0" w:line="280" w:lineRule="atLeast"/>
      <w:jc w:val="center"/>
      <w:textAlignment w:val="center"/>
    </w:pPr>
    <w:rPr>
      <w:rFonts w:ascii="PalatinoLTStd-MediumItalic" w:eastAsiaTheme="minorEastAsia" w:hAnsi="PalatinoLTStd-MediumItalic" w:cs="PalatinoLTStd-MediumItalic"/>
      <w:i/>
      <w:iCs/>
      <w:color w:val="A73439"/>
      <w:sz w:val="25"/>
      <w:szCs w:val="25"/>
      <w:lang w:eastAsia="en-IN"/>
    </w:rPr>
  </w:style>
  <w:style w:type="paragraph" w:customStyle="1" w:styleId="CASEH4">
    <w:name w:val="CASE_H4"/>
    <w:basedOn w:val="Normal"/>
    <w:uiPriority w:val="99"/>
    <w:rsid w:val="00E07BD1"/>
    <w:pPr>
      <w:widowControl w:val="0"/>
      <w:tabs>
        <w:tab w:val="left" w:pos="300"/>
      </w:tabs>
      <w:suppressAutoHyphens/>
      <w:autoSpaceDE w:val="0"/>
      <w:autoSpaceDN w:val="0"/>
      <w:adjustRightInd w:val="0"/>
      <w:spacing w:before="180" w:after="120" w:line="260" w:lineRule="atLeast"/>
      <w:jc w:val="center"/>
      <w:textAlignment w:val="center"/>
    </w:pPr>
    <w:rPr>
      <w:rFonts w:ascii="PalatinoLTStd-Bold" w:eastAsiaTheme="minorEastAsia" w:hAnsi="PalatinoLTStd-Bold" w:cs="PalatinoLTStd-Bold"/>
      <w:b/>
      <w:bCs/>
      <w:color w:val="000000"/>
      <w:sz w:val="22"/>
      <w:szCs w:val="22"/>
      <w:lang w:eastAsia="en-IN"/>
    </w:rPr>
  </w:style>
  <w:style w:type="paragraph" w:customStyle="1" w:styleId="CASEH5">
    <w:name w:val="CASE_H5"/>
    <w:basedOn w:val="Normal"/>
    <w:uiPriority w:val="99"/>
    <w:rsid w:val="00E07BD1"/>
    <w:pPr>
      <w:widowControl w:val="0"/>
      <w:tabs>
        <w:tab w:val="left" w:pos="300"/>
      </w:tabs>
      <w:suppressAutoHyphens/>
      <w:autoSpaceDE w:val="0"/>
      <w:autoSpaceDN w:val="0"/>
      <w:adjustRightInd w:val="0"/>
      <w:spacing w:before="180" w:after="120" w:line="260" w:lineRule="atLeast"/>
      <w:jc w:val="center"/>
      <w:textAlignment w:val="center"/>
    </w:pPr>
    <w:rPr>
      <w:rFonts w:ascii="PalatinoLTStd-Medium" w:eastAsiaTheme="minorEastAsia" w:hAnsi="PalatinoLTStd-Medium" w:cs="PalatinoLTStd-Medium"/>
      <w:color w:val="000000"/>
      <w:sz w:val="22"/>
      <w:szCs w:val="22"/>
      <w:lang w:eastAsia="en-IN"/>
    </w:rPr>
  </w:style>
  <w:style w:type="paragraph" w:customStyle="1" w:styleId="EXT">
    <w:name w:val="EXT"/>
    <w:basedOn w:val="Normal"/>
    <w:uiPriority w:val="99"/>
    <w:rsid w:val="00E07BD1"/>
    <w:pPr>
      <w:widowControl w:val="0"/>
      <w:tabs>
        <w:tab w:val="left" w:pos="600"/>
      </w:tabs>
      <w:suppressAutoHyphens/>
      <w:autoSpaceDE w:val="0"/>
      <w:autoSpaceDN w:val="0"/>
      <w:adjustRightInd w:val="0"/>
      <w:spacing w:before="120" w:after="120" w:line="220" w:lineRule="atLeast"/>
      <w:ind w:left="300" w:right="300"/>
      <w:jc w:val="both"/>
      <w:textAlignment w:val="center"/>
    </w:pPr>
    <w:rPr>
      <w:rFonts w:ascii="PalatinoLTStd-Roman" w:eastAsiaTheme="minorEastAsia" w:hAnsi="PalatinoLTStd-Roman" w:cs="PalatinoLTStd-Roman"/>
      <w:color w:val="000000"/>
      <w:sz w:val="19"/>
      <w:szCs w:val="19"/>
      <w:lang w:eastAsia="en-IN"/>
    </w:rPr>
  </w:style>
  <w:style w:type="paragraph" w:customStyle="1" w:styleId="CASETXNIruleverso">
    <w:name w:val="CASE_TXNI_rule_verso"/>
    <w:basedOn w:val="Normal"/>
    <w:uiPriority w:val="99"/>
    <w:rsid w:val="00E07BD1"/>
    <w:pPr>
      <w:widowControl w:val="0"/>
      <w:pBdr>
        <w:bottom w:val="single" w:sz="8" w:space="0" w:color="auto"/>
      </w:pBdr>
      <w:tabs>
        <w:tab w:val="left" w:pos="300"/>
      </w:tabs>
      <w:suppressAutoHyphens/>
      <w:autoSpaceDE w:val="0"/>
      <w:autoSpaceDN w:val="0"/>
      <w:adjustRightInd w:val="0"/>
      <w:spacing w:after="0" w:line="260" w:lineRule="atLeast"/>
      <w:jc w:val="both"/>
      <w:textAlignment w:val="center"/>
    </w:pPr>
    <w:rPr>
      <w:rFonts w:ascii="PalatinoLTStd-Roman" w:eastAsiaTheme="minorEastAsia" w:hAnsi="PalatinoLTStd-Roman" w:cs="PalatinoLTStd-Roman"/>
      <w:color w:val="000000"/>
      <w:sz w:val="21"/>
      <w:szCs w:val="21"/>
      <w:lang w:eastAsia="en-IN"/>
    </w:rPr>
  </w:style>
  <w:style w:type="character" w:customStyle="1" w:styleId="x">
    <w:name w:val="x"/>
    <w:uiPriority w:val="99"/>
    <w:rsid w:val="00E07BD1"/>
    <w:rPr>
      <w:color w:val="000000"/>
      <w:w w:val="100"/>
    </w:rPr>
  </w:style>
  <w:style w:type="character" w:customStyle="1" w:styleId="ITALIC">
    <w:name w:val="ITALIC"/>
    <w:uiPriority w:val="99"/>
    <w:rsid w:val="00E07BD1"/>
    <w:rPr>
      <w:i/>
      <w:color w:val="000000"/>
      <w:w w:val="100"/>
      <w:lang w:val="en-US" w:eastAsia="x-none"/>
    </w:rPr>
  </w:style>
  <w:style w:type="character" w:customStyle="1" w:styleId="NEPQNL11">
    <w:name w:val="NEPQ_NL11"/>
    <w:uiPriority w:val="99"/>
    <w:rsid w:val="00E07BD1"/>
    <w:rPr>
      <w:rFonts w:ascii="PalatinoLTStd-Roman" w:hAnsi="PalatinoLTStd-Roman"/>
      <w:color w:val="000000"/>
      <w:w w:val="100"/>
      <w:lang w:val="en-US" w:eastAsia="x-none"/>
    </w:rPr>
  </w:style>
  <w:style w:type="character" w:customStyle="1" w:styleId="CASEH41">
    <w:name w:val="CASE_H41"/>
    <w:uiPriority w:val="99"/>
    <w:rsid w:val="00E07BD1"/>
    <w:rPr>
      <w:rFonts w:ascii="PalatinoLTStd-Bold" w:hAnsi="PalatinoLTStd-Bold"/>
      <w:b/>
      <w:color w:val="000000"/>
      <w:w w:val="100"/>
      <w:lang w:val="en-US" w:eastAsia="x-none"/>
    </w:rPr>
  </w:style>
  <w:style w:type="character" w:customStyle="1" w:styleId="CASEH51">
    <w:name w:val="CASE_H51"/>
    <w:uiPriority w:val="99"/>
    <w:rsid w:val="00E07BD1"/>
    <w:rPr>
      <w:rFonts w:ascii="PalatinoLTStd-Medium" w:hAnsi="PalatinoLTStd-Medium"/>
      <w:color w:val="000000"/>
      <w:w w:val="100"/>
      <w:lang w:val="en-US" w:eastAsia="x-none"/>
    </w:rPr>
  </w:style>
  <w:style w:type="paragraph" w:customStyle="1" w:styleId="TXNI">
    <w:name w:val="TXNI"/>
    <w:basedOn w:val="Normal"/>
    <w:uiPriority w:val="99"/>
    <w:rsid w:val="00B966B7"/>
    <w:pPr>
      <w:widowControl w:val="0"/>
      <w:tabs>
        <w:tab w:val="left" w:pos="300"/>
      </w:tabs>
      <w:suppressAutoHyphens/>
      <w:autoSpaceDE w:val="0"/>
      <w:autoSpaceDN w:val="0"/>
      <w:adjustRightInd w:val="0"/>
      <w:spacing w:after="0" w:line="260" w:lineRule="atLeast"/>
      <w:jc w:val="both"/>
      <w:textAlignment w:val="center"/>
    </w:pPr>
    <w:rPr>
      <w:rFonts w:ascii="PalatinoLTStd-Roman" w:eastAsiaTheme="minorEastAsia" w:hAnsi="PalatinoLTStd-Roman" w:cs="PalatinoLTStd-Roman"/>
      <w:color w:val="000000"/>
      <w:sz w:val="21"/>
      <w:szCs w:val="21"/>
      <w:lang w:eastAsia="en-IN"/>
    </w:rPr>
  </w:style>
  <w:style w:type="paragraph" w:styleId="FootnoteText">
    <w:name w:val="footnote text"/>
    <w:basedOn w:val="Normal"/>
    <w:link w:val="FootnoteTextChar"/>
    <w:uiPriority w:val="99"/>
    <w:semiHidden/>
    <w:unhideWhenUsed/>
    <w:rsid w:val="00B966B7"/>
    <w:pPr>
      <w:spacing w:line="259" w:lineRule="auto"/>
    </w:pPr>
    <w:rPr>
      <w:rFonts w:eastAsiaTheme="minorEastAsia" w:cs="Times New Roman"/>
      <w:sz w:val="20"/>
      <w:szCs w:val="20"/>
      <w:lang w:val="en-IN" w:eastAsia="en-IN"/>
    </w:rPr>
  </w:style>
  <w:style w:type="character" w:customStyle="1" w:styleId="FootnoteTextChar">
    <w:name w:val="Footnote Text Char"/>
    <w:basedOn w:val="DefaultParagraphFont"/>
    <w:link w:val="FootnoteText"/>
    <w:uiPriority w:val="99"/>
    <w:semiHidden/>
    <w:rsid w:val="00B966B7"/>
    <w:rPr>
      <w:rFonts w:eastAsiaTheme="minorEastAsia" w:cs="Times New Roman"/>
      <w:kern w:val="0"/>
      <w:sz w:val="20"/>
      <w:szCs w:val="20"/>
      <w:lang w:val="en-IN" w:eastAsia="en-IN"/>
    </w:rPr>
  </w:style>
  <w:style w:type="character" w:styleId="FootnoteReference">
    <w:name w:val="footnote reference"/>
    <w:basedOn w:val="DefaultParagraphFont"/>
    <w:uiPriority w:val="99"/>
    <w:semiHidden/>
    <w:unhideWhenUsed/>
    <w:rsid w:val="00B966B7"/>
    <w:rPr>
      <w:rFonts w:cs="Times New Roman"/>
      <w:vertAlign w:val="superscript"/>
    </w:rPr>
  </w:style>
  <w:style w:type="paragraph" w:customStyle="1" w:styleId="TXT">
    <w:name w:val="TXT"/>
    <w:basedOn w:val="Normal"/>
    <w:uiPriority w:val="99"/>
    <w:rsid w:val="00CD46C7"/>
    <w:pPr>
      <w:widowControl w:val="0"/>
      <w:tabs>
        <w:tab w:val="left" w:pos="300"/>
      </w:tabs>
      <w:suppressAutoHyphens/>
      <w:autoSpaceDE w:val="0"/>
      <w:autoSpaceDN w:val="0"/>
      <w:adjustRightInd w:val="0"/>
      <w:spacing w:after="0" w:line="260" w:lineRule="atLeast"/>
      <w:ind w:firstLine="300"/>
      <w:jc w:val="both"/>
      <w:textAlignment w:val="center"/>
    </w:pPr>
    <w:rPr>
      <w:rFonts w:ascii="PalatinoLTStd-Roman" w:eastAsiaTheme="minorEastAsia" w:hAnsi="PalatinoLTStd-Roman" w:cs="PalatinoLTStd-Roman"/>
      <w:color w:val="000000"/>
      <w:sz w:val="21"/>
      <w:szCs w:val="21"/>
      <w:lang w:eastAsia="en-IN"/>
    </w:rPr>
  </w:style>
  <w:style w:type="paragraph" w:customStyle="1" w:styleId="H2">
    <w:name w:val="H2"/>
    <w:basedOn w:val="Normal"/>
    <w:uiPriority w:val="99"/>
    <w:rsid w:val="00CD46C7"/>
    <w:pPr>
      <w:keepNext/>
      <w:keepLines/>
      <w:widowControl w:val="0"/>
      <w:tabs>
        <w:tab w:val="left" w:pos="300"/>
      </w:tabs>
      <w:suppressAutoHyphens/>
      <w:autoSpaceDE w:val="0"/>
      <w:autoSpaceDN w:val="0"/>
      <w:adjustRightInd w:val="0"/>
      <w:spacing w:before="300" w:after="120" w:line="280" w:lineRule="atLeast"/>
      <w:textAlignment w:val="center"/>
    </w:pPr>
    <w:rPr>
      <w:rFonts w:ascii="PalatinoLTStd-Bold" w:eastAsiaTheme="minorEastAsia" w:hAnsi="PalatinoLTStd-Bold" w:cs="PalatinoLTStd-Bold"/>
      <w:b/>
      <w:bCs/>
      <w:color w:val="A73439"/>
      <w:sz w:val="25"/>
      <w:szCs w:val="25"/>
      <w:lang w:eastAsia="en-IN"/>
    </w:rPr>
  </w:style>
  <w:style w:type="paragraph" w:customStyle="1" w:styleId="CASEBL1mid">
    <w:name w:val="CASE_BL1_mid"/>
    <w:basedOn w:val="Normal"/>
    <w:uiPriority w:val="99"/>
    <w:rsid w:val="00CD46C7"/>
    <w:pPr>
      <w:widowControl w:val="0"/>
      <w:suppressAutoHyphens/>
      <w:autoSpaceDE w:val="0"/>
      <w:autoSpaceDN w:val="0"/>
      <w:adjustRightInd w:val="0"/>
      <w:spacing w:after="0" w:line="260" w:lineRule="atLeast"/>
      <w:ind w:left="540" w:hanging="240"/>
      <w:jc w:val="both"/>
      <w:textAlignment w:val="center"/>
    </w:pPr>
    <w:rPr>
      <w:rFonts w:ascii="PalatinoLTStd-Roman" w:eastAsiaTheme="minorEastAsia" w:hAnsi="PalatinoLTStd-Roman" w:cs="PalatinoLTStd-Roman"/>
      <w:color w:val="000000"/>
      <w:sz w:val="21"/>
      <w:szCs w:val="21"/>
      <w:lang w:eastAsia="en-IN"/>
    </w:rPr>
  </w:style>
  <w:style w:type="paragraph" w:customStyle="1" w:styleId="CASEBL1first">
    <w:name w:val="CASE_BL1_first"/>
    <w:basedOn w:val="Normal"/>
    <w:uiPriority w:val="99"/>
    <w:rsid w:val="00CD46C7"/>
    <w:pPr>
      <w:widowControl w:val="0"/>
      <w:suppressAutoHyphens/>
      <w:autoSpaceDE w:val="0"/>
      <w:autoSpaceDN w:val="0"/>
      <w:adjustRightInd w:val="0"/>
      <w:spacing w:before="120" w:after="0" w:line="260" w:lineRule="atLeast"/>
      <w:ind w:left="540" w:hanging="240"/>
      <w:jc w:val="both"/>
      <w:textAlignment w:val="center"/>
    </w:pPr>
    <w:rPr>
      <w:rFonts w:ascii="PalatinoLTStd-Roman" w:eastAsiaTheme="minorEastAsia" w:hAnsi="PalatinoLTStd-Roman" w:cs="PalatinoLTStd-Roman"/>
      <w:color w:val="000000"/>
      <w:sz w:val="21"/>
      <w:szCs w:val="21"/>
      <w:lang w:eastAsia="en-IN"/>
    </w:rPr>
  </w:style>
  <w:style w:type="character" w:customStyle="1" w:styleId="H21">
    <w:name w:val="H21"/>
    <w:uiPriority w:val="99"/>
    <w:rsid w:val="00CD46C7"/>
    <w:rPr>
      <w:rFonts w:ascii="PalatinoLTStd-Bold" w:hAnsi="PalatinoLTStd-Bold"/>
      <w:b/>
      <w:color w:val="A73439"/>
      <w:w w:val="100"/>
      <w:lang w:val="en-US" w:eastAsia="x-none"/>
    </w:rPr>
  </w:style>
  <w:style w:type="character" w:customStyle="1" w:styleId="BOLD">
    <w:name w:val="BOLD"/>
    <w:uiPriority w:val="99"/>
    <w:rsid w:val="00CD46C7"/>
    <w:rPr>
      <w:rFonts w:ascii="PalatinoLTStd-Bold" w:hAnsi="PalatinoLTStd-Bold"/>
      <w:b/>
      <w:color w:val="000000"/>
      <w:w w:val="100"/>
      <w:lang w:val="en-US" w:eastAsia="x-none"/>
    </w:rPr>
  </w:style>
  <w:style w:type="character" w:customStyle="1" w:styleId="BOLDITAL">
    <w:name w:val="BOLDITAL"/>
    <w:uiPriority w:val="99"/>
    <w:rsid w:val="00CD46C7"/>
    <w:rPr>
      <w:b/>
      <w:i/>
      <w:color w:val="000000"/>
      <w:w w:val="100"/>
      <w:lang w:val="en-US" w:eastAsia="x-none"/>
    </w:rPr>
  </w:style>
  <w:style w:type="character" w:styleId="Hyperlink">
    <w:name w:val="Hyperlink"/>
    <w:basedOn w:val="DefaultParagraphFont"/>
    <w:uiPriority w:val="99"/>
    <w:unhideWhenUsed/>
    <w:rsid w:val="004D295C"/>
    <w:rPr>
      <w:color w:val="467886" w:themeColor="hyperlink"/>
      <w:u w:val="single"/>
    </w:rPr>
  </w:style>
  <w:style w:type="character" w:styleId="UnresolvedMention">
    <w:name w:val="Unresolved Mention"/>
    <w:basedOn w:val="DefaultParagraphFont"/>
    <w:uiPriority w:val="99"/>
    <w:semiHidden/>
    <w:unhideWhenUsed/>
    <w:rsid w:val="004D295C"/>
    <w:rPr>
      <w:color w:val="605E5C"/>
      <w:shd w:val="clear" w:color="auto" w:fill="E1DFDD"/>
    </w:rPr>
  </w:style>
  <w:style w:type="paragraph" w:customStyle="1" w:styleId="CASEH1recto">
    <w:name w:val="CASE_H1_recto"/>
    <w:basedOn w:val="Normal"/>
    <w:uiPriority w:val="99"/>
    <w:rsid w:val="004D295C"/>
    <w:pPr>
      <w:widowControl w:val="0"/>
      <w:pBdr>
        <w:top w:val="single" w:sz="4" w:space="28" w:color="A73439"/>
      </w:pBdr>
      <w:tabs>
        <w:tab w:val="left" w:pos="300"/>
      </w:tabs>
      <w:suppressAutoHyphens/>
      <w:autoSpaceDE w:val="0"/>
      <w:autoSpaceDN w:val="0"/>
      <w:adjustRightInd w:val="0"/>
      <w:spacing w:before="480" w:after="0" w:line="280" w:lineRule="atLeast"/>
      <w:jc w:val="center"/>
      <w:textAlignment w:val="center"/>
    </w:pPr>
    <w:rPr>
      <w:rFonts w:ascii="PalatinoLTStd-MediumItalic" w:eastAsiaTheme="minorEastAsia" w:hAnsi="PalatinoLTStd-MediumItalic" w:cs="PalatinoLTStd-MediumItalic"/>
      <w:i/>
      <w:iCs/>
      <w:color w:val="A73439"/>
      <w:sz w:val="25"/>
      <w:szCs w:val="25"/>
      <w:lang w:eastAsia="en-IN"/>
    </w:rPr>
  </w:style>
  <w:style w:type="character" w:customStyle="1" w:styleId="SC">
    <w:name w:val="SC"/>
    <w:uiPriority w:val="99"/>
    <w:rsid w:val="004D295C"/>
    <w:rPr>
      <w:smallCaps/>
      <w:color w:val="000000"/>
      <w:w w:val="100"/>
      <w:lang w:val="en-US" w:eastAsia="x-none"/>
    </w:rPr>
  </w:style>
  <w:style w:type="paragraph" w:styleId="Subtitle">
    <w:name w:val="Subtitle"/>
    <w:basedOn w:val="Normal"/>
    <w:next w:val="Normal"/>
    <w:link w:val="SubtitleChar"/>
    <w:uiPriority w:val="11"/>
    <w:qFormat/>
    <w:rPr>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westlaw.com/Link/Document/FullText?findType=Y&amp;serNum=1831192543&amp;pubNum=780&amp;originatingDoc=I8616d4739cbf11d9a707f4371c9c34f0&amp;refType=RP&amp;originationContext=document&amp;vr=3.0&amp;rs=cblt1.0&amp;transitionType=DocumentItem&amp;contextData=(sc.Default)" TargetMode="External"/><Relationship Id="rId18" Type="http://schemas.openxmlformats.org/officeDocument/2006/relationships/hyperlink" Target="https://www.westlaw.com/Link/Document/FullText?findType=Y&amp;serNum=1800126234&amp;originatingDoc=I8616d4739cbf11d9a707f4371c9c34f0&amp;refType=RP&amp;originationContext=document&amp;vr=3.0&amp;rs=cblt1.0&amp;transitionType=DocumentItem&amp;contextData=(sc.Default)" TargetMode="External"/><Relationship Id="rId26" Type="http://schemas.openxmlformats.org/officeDocument/2006/relationships/hyperlink" Target="https://www.westlaw.com/Link/Document/FullText?findType=Y&amp;serNum=1800108094&amp;pubNum=780&amp;originatingDoc=I8616d4739cbf11d9a707f4371c9c34f0&amp;refType=RP&amp;originationContext=document&amp;vr=3.0&amp;rs=cblt1.0&amp;transitionType=DocumentItem&amp;contextData=(sc.Default)" TargetMode="External"/><Relationship Id="rId39" Type="http://schemas.openxmlformats.org/officeDocument/2006/relationships/hyperlink" Target="https://www.westlaw.com/Link/Document/FullText?findType=Y&amp;serNum=1800121397&amp;pubNum=329&amp;originatingDoc=I8616d4739cbf11d9a707f4371c9c34f0&amp;refType=RP&amp;fi=co_pp_sp_329_390&amp;originationContext=document&amp;vr=3.0&amp;rs=cblt1.0&amp;transitionType=DocumentItem&amp;contextData=(sc.Default)#co_pp_sp_329_390" TargetMode="External"/><Relationship Id="rId21" Type="http://schemas.openxmlformats.org/officeDocument/2006/relationships/hyperlink" Target="https://www.westlaw.com/Link/Document/FullText?findType=Y&amp;serNum=1880185796&amp;pubNum=780&amp;originatingDoc=I8616d4739cbf11d9a707f4371c9c34f0&amp;refType=RP&amp;originationContext=document&amp;vr=3.0&amp;rs=cblt1.0&amp;transitionType=DocumentItem&amp;contextData=(sc.Default)" TargetMode="External"/><Relationship Id="rId34" Type="http://schemas.openxmlformats.org/officeDocument/2006/relationships/hyperlink" Target="https://www.westlaw.com/Link/Document/FullText?findType=Y&amp;serNum=1800135092&amp;pubNum=0000857&amp;originatingDoc=I8616d4739cbf11d9a707f4371c9c34f0&amp;refType=CA&amp;fi=co_pp_sp_857_419&amp;originationContext=document&amp;vr=3.0&amp;rs=cblt1.0&amp;transitionType=DocumentItem&amp;contextData=(sc.Default)#co_pp_sp_857_419" TargetMode="External"/><Relationship Id="rId42" Type="http://schemas.openxmlformats.org/officeDocument/2006/relationships/hyperlink" Target="https://www.westlaw.com/Link/Document/FullText?findType=Y&amp;serNum=1800129054&amp;pubNum=329&amp;originatingDoc=I8616d4739cbf11d9a707f4371c9c34f0&amp;refType=RP&amp;fi=co_pp_sp_329_404&amp;originationContext=document&amp;vr=3.0&amp;rs=cblt1.0&amp;transitionType=DocumentItem&amp;contextData=(sc.Default)#co_pp_sp_329_404" TargetMode="External"/><Relationship Id="rId47" Type="http://schemas.openxmlformats.org/officeDocument/2006/relationships/hyperlink" Target="https://www.westlaw.com/Link/Document/FullText?findType=Y&amp;serNum=1880154487&amp;pubNum=716&amp;originatingDoc=I8616d4739cbf11d9a707f4371c9c34f0&amp;refType=RP&amp;fi=co_pp_sp_716_409&amp;originationContext=document&amp;vr=3.0&amp;rs=cblt1.0&amp;transitionType=DocumentItem&amp;contextData=(sc.Default)#co_pp_sp_716_409" TargetMode="External"/><Relationship Id="rId50" Type="http://schemas.openxmlformats.org/officeDocument/2006/relationships/hyperlink" Target="https://www.westlaw.com/Link/Document/FullText?findType=Y&amp;serNum=1865197375&amp;pubNum=780&amp;originatingDoc=I8616d4739cbf11d9a707f4371c9c34f0&amp;refType=RP&amp;fi=co_pp_sp_780_420&amp;originationContext=document&amp;vr=3.0&amp;rs=cblt1.0&amp;transitionType=DocumentItem&amp;contextData=(sc.Default)#co_pp_sp_780_420" TargetMode="External"/><Relationship Id="rId55" Type="http://schemas.openxmlformats.org/officeDocument/2006/relationships/hyperlink" Target="https://www.westlaw.com/Link/Document/FullText?findType=Y&amp;cite=5DILL390&amp;originatingDoc=I8616d4739cbf11d9a707f4371c9c34f0&amp;refType=RP&amp;originationContext=document&amp;vr=3.0&amp;rs=cblt1.0&amp;transitionType=DocumentItem&amp;contextData=(sc.Defaul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westlaw.com/Link/Document/FullText?findType=Y&amp;serNum=1865197375&amp;pubNum=780&amp;originatingDoc=I8616d4739cbf11d9a707f4371c9c34f0&amp;refType=RP&amp;originationContext=document&amp;vr=3.0&amp;rs=cblt1.0&amp;transitionType=DocumentItem&amp;contextData=(sc.Default)" TargetMode="External"/><Relationship Id="rId29" Type="http://schemas.openxmlformats.org/officeDocument/2006/relationships/hyperlink" Target="https://www.westlaw.com/Link/Document/FullText?findType=Y&amp;serNum=1800117788&amp;originatingDoc=I8616d4739cbf11d9a707f4371c9c34f0&amp;refType=RP&amp;originationContext=document&amp;vr=3.0&amp;rs=cblt1.0&amp;transitionType=DocumentItem&amp;contextData=(sc.Default)" TargetMode="External"/><Relationship Id="rId11" Type="http://schemas.openxmlformats.org/officeDocument/2006/relationships/hyperlink" Target="https://www.westlaw.com/Link/Document/FullText?findType=Y&amp;serNum=1884180115&amp;pubNum=780&amp;originatingDoc=I8616d4739cbf11d9a707f4371c9c34f0&amp;refType=RP&amp;originationContext=document&amp;vr=3.0&amp;rs=cblt1.0&amp;transitionType=DocumentItem&amp;contextData=(sc.Default)" TargetMode="External"/><Relationship Id="rId24" Type="http://schemas.openxmlformats.org/officeDocument/2006/relationships/hyperlink" Target="https://www.westlaw.com/Link/Document/FullText?findType=Y&amp;serNum=1823007163&amp;pubNum=2451&amp;originatingDoc=I8616d4739cbf11d9a707f4371c9c34f0&amp;refType=RP&amp;originationContext=document&amp;vr=3.0&amp;rs=cblt1.0&amp;transitionType=DocumentItem&amp;contextData=(sc.Default)" TargetMode="External"/><Relationship Id="rId32" Type="http://schemas.openxmlformats.org/officeDocument/2006/relationships/hyperlink" Target="https://www.westlaw.com/Link/Document/FullText?findType=Y&amp;serNum=1872196552&amp;pubNum=780&amp;originatingDoc=I8616d4739cbf11d9a707f4371c9c34f0&amp;refType=RP&amp;fi=co_pp_sp_780_73&amp;originationContext=document&amp;vr=3.0&amp;rs=cblt1.0&amp;transitionType=DocumentItem&amp;contextData=(sc.Default)#co_pp_sp_780_73" TargetMode="External"/><Relationship Id="rId37" Type="http://schemas.openxmlformats.org/officeDocument/2006/relationships/hyperlink" Target="https://www.westlaw.com/Link/Document/FullText?findType=Y&amp;serNum=1871014983&amp;pubNum=521&amp;originatingDoc=I8616d4739cbf11d9a707f4371c9c34f0&amp;refType=RP&amp;originationContext=document&amp;vr=3.0&amp;rs=cblt1.0&amp;transitionType=DocumentItem&amp;contextData=(sc.Default)" TargetMode="External"/><Relationship Id="rId40" Type="http://schemas.openxmlformats.org/officeDocument/2006/relationships/hyperlink" Target="https://www.westlaw.com/Link/Document/FullText?findType=Y&amp;serNum=1800129054&amp;pubNum=329&amp;originatingDoc=I8616d4739cbf11d9a707f4371c9c34f0&amp;refType=RP&amp;fi=co_pp_sp_329_397&amp;originationContext=document&amp;vr=3.0&amp;rs=cblt1.0&amp;transitionType=DocumentItem&amp;contextData=(sc.Default)#co_pp_sp_329_397" TargetMode="External"/><Relationship Id="rId45" Type="http://schemas.openxmlformats.org/officeDocument/2006/relationships/hyperlink" Target="https://www.westlaw.com/Link/Document/FullText?findType=Y&amp;serNum=1800134827&amp;pubNum=329&amp;originatingDoc=I8616d4739cbf11d9a707f4371c9c34f0&amp;refType=RP&amp;originationContext=document&amp;vr=3.0&amp;rs=cblt1.0&amp;transitionType=DocumentItem&amp;contextData=(sc.Default)" TargetMode="External"/><Relationship Id="rId53" Type="http://schemas.openxmlformats.org/officeDocument/2006/relationships/hyperlink" Target="https://www.westlaw.com/Link/Document/FullText?findType=Y&amp;serNum=1884180197&amp;pubNum=708&amp;originatingDoc=I8616d4739cbf11d9a707f4371c9c34f0&amp;refType=RP&amp;originationContext=document&amp;vr=3.0&amp;rs=cblt1.0&amp;transitionType=DocumentItem&amp;contextData=(sc.Default)" TargetMode="External"/><Relationship Id="rId58" Type="http://schemas.openxmlformats.org/officeDocument/2006/relationships/hyperlink" Target="https://www.westlaw.com/Link/Document/FullText?findType=Y&amp;serNum=1846137106&amp;pubNum=780&amp;originatingDoc=I8616d4739cbf11d9a707f4371c9c34f0&amp;refType=RP&amp;originationContext=document&amp;vr=3.0&amp;rs=cblt1.0&amp;transitionType=DocumentItem&amp;contextData=(sc.Default)"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www.westlaw.com/Link/Document/FullText?findType=Y&amp;serNum=1870148605&amp;pubNum=780&amp;originatingDoc=I8616d4739cbf11d9a707f4371c9c34f0&amp;refType=RP&amp;originationContext=document&amp;vr=3.0&amp;rs=cblt1.0&amp;transitionType=DocumentItem&amp;contextData=(sc.Default)" TargetMode="External"/><Relationship Id="rId14" Type="http://schemas.openxmlformats.org/officeDocument/2006/relationships/hyperlink" Target="https://www.westlaw.com/Link/Document/FullText?findType=Y&amp;serNum=1800140351&amp;pubNum=780&amp;originatingDoc=I8616d4739cbf11d9a707f4371c9c34f0&amp;refType=RP&amp;originationContext=document&amp;vr=3.0&amp;rs=cblt1.0&amp;transitionType=DocumentItem&amp;contextData=(sc.Default)" TargetMode="External"/><Relationship Id="rId22" Type="http://schemas.openxmlformats.org/officeDocument/2006/relationships/hyperlink" Target="https://www.westlaw.com/Link/Document/FullText?findType=Y&amp;serNum=1883180229&amp;pubNum=780&amp;originatingDoc=I8616d4739cbf11d9a707f4371c9c34f0&amp;refType=RP&amp;originationContext=document&amp;vr=3.0&amp;rs=cblt1.0&amp;transitionType=DocumentItem&amp;contextData=(sc.Default)" TargetMode="External"/><Relationship Id="rId27" Type="http://schemas.openxmlformats.org/officeDocument/2006/relationships/hyperlink" Target="https://www.westlaw.com/Link/Document/FullText?findType=Y&amp;serNum=1800121182&amp;pubNum=329&amp;originatingDoc=I8616d4739cbf11d9a707f4371c9c34f0&amp;refType=RP&amp;fi=co_pp_sp_329_346&amp;originationContext=document&amp;vr=3.0&amp;rs=cblt1.0&amp;transitionType=DocumentItem&amp;contextData=(sc.Default)#co_pp_sp_329_346" TargetMode="External"/><Relationship Id="rId30" Type="http://schemas.openxmlformats.org/officeDocument/2006/relationships/hyperlink" Target="https://www.westlaw.com/Link/Document/FullText?findType=Y&amp;serNum=1856193196&amp;pubNum=780&amp;originatingDoc=I8616d4739cbf11d9a707f4371c9c34f0&amp;refType=RP&amp;fi=co_pp_sp_780_404&amp;originationContext=document&amp;vr=3.0&amp;rs=cblt1.0&amp;transitionType=DocumentItem&amp;contextData=(sc.Default)#co_pp_sp_780_404" TargetMode="External"/><Relationship Id="rId35" Type="http://schemas.openxmlformats.org/officeDocument/2006/relationships/hyperlink" Target="https://www.westlaw.com/Link/Document/FullText?findType=Y&amp;serNum=1800116198&amp;pubNum=780&amp;originatingDoc=I8616d4739cbf11d9a707f4371c9c34f0&amp;refType=RP&amp;fi=co_pp_sp_780_146&amp;originationContext=document&amp;vr=3.0&amp;rs=cblt1.0&amp;transitionType=DocumentItem&amp;contextData=(sc.Default)#co_pp_sp_780_146" TargetMode="External"/><Relationship Id="rId43" Type="http://schemas.openxmlformats.org/officeDocument/2006/relationships/hyperlink" Target="https://www.westlaw.com/Link/Document/FullText?findType=Y&amp;serNum=1800114610&amp;pubNum=198&amp;originatingDoc=I8616d4739cbf11d9a707f4371c9c34f0&amp;refType=RP&amp;originationContext=document&amp;vr=3.0&amp;rs=cblt1.0&amp;transitionType=DocumentItem&amp;contextData=(sc.Default)" TargetMode="External"/><Relationship Id="rId48" Type="http://schemas.openxmlformats.org/officeDocument/2006/relationships/hyperlink" Target="https://www.westlaw.com/Link/Document/FullText?findType=Y&amp;serNum=1800148721&amp;pubNum=780&amp;originatingDoc=I8616d4739cbf11d9a707f4371c9c34f0&amp;refType=RP&amp;originationContext=document&amp;vr=3.0&amp;rs=cblt1.0&amp;transitionType=DocumentItem&amp;contextData=(sc.Default)" TargetMode="External"/><Relationship Id="rId56" Type="http://schemas.openxmlformats.org/officeDocument/2006/relationships/hyperlink" Target="https://www.westlaw.com/Link/Document/FullText?findType=Y&amp;serNum=1800135092&amp;pubNum=0000857&amp;originatingDoc=I8616d4739cbf11d9a707f4371c9c34f0&amp;refType=CA&amp;fi=co_pp_sp_857_419&amp;originationContext=document&amp;vr=3.0&amp;rs=cblt1.0&amp;transitionType=DocumentItem&amp;contextData=(sc.Default)#co_pp_sp_857_419" TargetMode="External"/><Relationship Id="rId8" Type="http://schemas.openxmlformats.org/officeDocument/2006/relationships/hyperlink" Target="https://www.westlaw.com/Link/Document/FullText?findType=Y&amp;serNum=1884180130&amp;pubNum=780&amp;originatingDoc=I8616d4739cbf11d9a707f4371c9c34f0&amp;refType=RP&amp;originationContext=document&amp;vr=3.0&amp;rs=cblt1.0&amp;transitionType=DocumentItem&amp;contextData=(sc.Default)" TargetMode="External"/><Relationship Id="rId51" Type="http://schemas.openxmlformats.org/officeDocument/2006/relationships/hyperlink" Target="https://www.westlaw.com/Link/Document/FullText?findType=Y&amp;serNum=1876155921&amp;pubNum=780&amp;originatingDoc=I8616d4739cbf11d9a707f4371c9c34f0&amp;refType=RP&amp;fi=co_pp_sp_780_618&amp;originationContext=document&amp;vr=3.0&amp;rs=cblt1.0&amp;transitionType=DocumentItem&amp;contextData=(sc.Default)#co_pp_sp_780_618" TargetMode="External"/><Relationship Id="rId3" Type="http://schemas.openxmlformats.org/officeDocument/2006/relationships/styles" Target="styles.xml"/><Relationship Id="rId12" Type="http://schemas.openxmlformats.org/officeDocument/2006/relationships/hyperlink" Target="https://www.westlaw.com/Link/Document/FullText?findType=Y&amp;serNum=1884180115&amp;pubNum=708&amp;originatingDoc=I8616d4739cbf11d9a707f4371c9c34f0&amp;refType=RP&amp;originationContext=document&amp;vr=3.0&amp;rs=cblt1.0&amp;transitionType=DocumentItem&amp;contextData=(sc.Default)" TargetMode="External"/><Relationship Id="rId17" Type="http://schemas.openxmlformats.org/officeDocument/2006/relationships/hyperlink" Target="https://www.westlaw.com/Link/Document/FullText?findType=Y&amp;serNum=1800121173&amp;pubNum=780&amp;originatingDoc=I8616d4739cbf11d9a707f4371c9c34f0&amp;refType=RP&amp;originationContext=document&amp;vr=3.0&amp;rs=cblt1.0&amp;transitionType=DocumentItem&amp;contextData=(sc.Default)" TargetMode="External"/><Relationship Id="rId25" Type="http://schemas.openxmlformats.org/officeDocument/2006/relationships/hyperlink" Target="https://www.westlaw.com/Link/Document/FullText?findType=Y&amp;serNum=1850008641&amp;pubNum=596&amp;originatingDoc=I8616d4739cbf11d9a707f4371c9c34f0&amp;refType=RP&amp;originationContext=document&amp;vr=3.0&amp;rs=cblt1.0&amp;transitionType=DocumentItem&amp;contextData=(sc.Default)" TargetMode="External"/><Relationship Id="rId33" Type="http://schemas.openxmlformats.org/officeDocument/2006/relationships/hyperlink" Target="https://www.westlaw.com/Link/Document/FullText?findType=Y&amp;serNum=1800132385&amp;pubNum=780&amp;originatingDoc=I8616d4739cbf11d9a707f4371c9c34f0&amp;refType=RP&amp;fi=co_pp_sp_780_306&amp;originationContext=document&amp;vr=3.0&amp;rs=cblt1.0&amp;transitionType=DocumentItem&amp;contextData=(sc.Default)#co_pp_sp_780_306" TargetMode="External"/><Relationship Id="rId38" Type="http://schemas.openxmlformats.org/officeDocument/2006/relationships/hyperlink" Target="https://www.westlaw.com/Link/Document/FullText?findType=Y&amp;serNum=1880019363&amp;pubNum=521&amp;originatingDoc=I8616d4739cbf11d9a707f4371c9c34f0&amp;refType=RP&amp;originationContext=document&amp;vr=3.0&amp;rs=cblt1.0&amp;transitionType=DocumentItem&amp;contextData=(sc.Default)" TargetMode="External"/><Relationship Id="rId46" Type="http://schemas.openxmlformats.org/officeDocument/2006/relationships/hyperlink" Target="https://www.westlaw.com/Link/Document/FullText?findType=Y&amp;serNum=1800123517&amp;pubNum=716&amp;originatingDoc=I8616d4739cbf11d9a707f4371c9c34f0&amp;refType=RP&amp;fi=co_pp_sp_716_134&amp;originationContext=document&amp;vr=3.0&amp;rs=cblt1.0&amp;transitionType=DocumentItem&amp;contextData=(sc.Default)#co_pp_sp_716_134" TargetMode="External"/><Relationship Id="rId59" Type="http://schemas.openxmlformats.org/officeDocument/2006/relationships/hyperlink" Target="https://www.westlaw.com/Link/Document/FullText?findType=Y&amp;serNum=1870148605&amp;pubNum=780&amp;originatingDoc=I8616d4739cbf11d9a707f4371c9c34f0&amp;refType=RP&amp;originationContext=document&amp;vr=3.0&amp;rs=cblt1.0&amp;transitionType=DocumentItem&amp;contextData=(sc.Default)" TargetMode="External"/><Relationship Id="rId20" Type="http://schemas.openxmlformats.org/officeDocument/2006/relationships/hyperlink" Target="https://www.westlaw.com/Link/Document/FullText?findType=Y&amp;serNum=1876135237&amp;pubNum=780&amp;originatingDoc=I8616d4739cbf11d9a707f4371c9c34f0&amp;refType=RP&amp;originationContext=document&amp;vr=3.0&amp;rs=cblt1.0&amp;transitionType=DocumentItem&amp;contextData=(sc.Default)" TargetMode="External"/><Relationship Id="rId41" Type="http://schemas.openxmlformats.org/officeDocument/2006/relationships/hyperlink" Target="https://www.westlaw.com/Link/Document/FullText?findType=Y&amp;serNum=1800134827&amp;pubNum=329&amp;originatingDoc=I8616d4739cbf11d9a707f4371c9c34f0&amp;refType=RP&amp;fi=co_pp_sp_329_464&amp;originationContext=document&amp;vr=3.0&amp;rs=cblt1.0&amp;transitionType=DocumentItem&amp;contextData=(sc.Default)#co_pp_sp_329_464" TargetMode="External"/><Relationship Id="rId54" Type="http://schemas.openxmlformats.org/officeDocument/2006/relationships/hyperlink" Target="https://www.westlaw.com/Link/Document/FullText?findType=Y&amp;serNum=1800121397&amp;pubNum=329&amp;originatingDoc=I8616d4739cbf11d9a707f4371c9c34f0&amp;refType=RP&amp;originationContext=document&amp;vr=3.0&amp;rs=cblt1.0&amp;transitionType=DocumentItem&amp;contextData=(sc.Default)"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westlaw.com/Link/Document/FullText?findType=Y&amp;serNum=1846137106&amp;pubNum=780&amp;originatingDoc=I8616d4739cbf11d9a707f4371c9c34f0&amp;refType=RP&amp;originationContext=document&amp;vr=3.0&amp;rs=cblt1.0&amp;transitionType=DocumentItem&amp;contextData=(sc.Default)" TargetMode="External"/><Relationship Id="rId23" Type="http://schemas.openxmlformats.org/officeDocument/2006/relationships/hyperlink" Target="https://www.westlaw.com/Link/Document/FullText?findType=Y&amp;serNum=1883180229&amp;pubNum=708&amp;originatingDoc=I8616d4739cbf11d9a707f4371c9c34f0&amp;refType=RP&amp;originationContext=document&amp;vr=3.0&amp;rs=cblt1.0&amp;transitionType=DocumentItem&amp;contextData=(sc.Default)" TargetMode="External"/><Relationship Id="rId28" Type="http://schemas.openxmlformats.org/officeDocument/2006/relationships/hyperlink" Target="https://www.westlaw.com/Link/Document/FullText?findType=Y&amp;serNum=1800117788&amp;pubNum=329&amp;originatingDoc=I8616d4739cbf11d9a707f4371c9c34f0&amp;refType=RP&amp;originationContext=document&amp;vr=3.0&amp;rs=cblt1.0&amp;transitionType=DocumentItem&amp;contextData=(sc.Default)" TargetMode="External"/><Relationship Id="rId36" Type="http://schemas.openxmlformats.org/officeDocument/2006/relationships/hyperlink" Target="https://www.westlaw.com/Link/Document/FullText?findType=Y&amp;serNum=1800140351&amp;pubNum=780&amp;originatingDoc=I8616d4739cbf11d9a707f4371c9c34f0&amp;refType=RP&amp;fi=co_pp_sp_780_580&amp;originationContext=document&amp;vr=3.0&amp;rs=cblt1.0&amp;transitionType=DocumentItem&amp;contextData=(sc.Default)#co_pp_sp_780_580" TargetMode="External"/><Relationship Id="rId49" Type="http://schemas.openxmlformats.org/officeDocument/2006/relationships/hyperlink" Target="https://www.westlaw.com/Link/Document/FullText?findType=Y&amp;serNum=1856103392&amp;pubNum=780&amp;originatingDoc=I8616d4739cbf11d9a707f4371c9c34f0&amp;refType=RP&amp;originationContext=document&amp;vr=3.0&amp;rs=cblt1.0&amp;transitionType=DocumentItem&amp;contextData=(sc.Default)" TargetMode="External"/><Relationship Id="rId57" Type="http://schemas.openxmlformats.org/officeDocument/2006/relationships/hyperlink" Target="https://www.westlaw.com/Link/Document/FullText?findType=Y&amp;serNum=1831192543&amp;pubNum=780&amp;originatingDoc=I8616d4739cbf11d9a707f4371c9c34f0&amp;refType=RP&amp;originationContext=document&amp;vr=3.0&amp;rs=cblt1.0&amp;transitionType=DocumentItem&amp;contextData=(sc.Default)" TargetMode="External"/><Relationship Id="rId10" Type="http://schemas.openxmlformats.org/officeDocument/2006/relationships/hyperlink" Target="https://www.westlaw.com/Link/Document/FullText?findType=Y&amp;serNum=1800124475&amp;pubNum=780&amp;originatingDoc=I8616d4739cbf11d9a707f4371c9c34f0&amp;refType=RP&amp;originationContext=document&amp;vr=3.0&amp;rs=cblt1.0&amp;transitionType=DocumentItem&amp;contextData=(sc.Default)" TargetMode="External"/><Relationship Id="rId31" Type="http://schemas.openxmlformats.org/officeDocument/2006/relationships/hyperlink" Target="https://www.westlaw.com/Link/Document/FullText?findType=Y&amp;serNum=1856193196&amp;pubNum=780&amp;originatingDoc=I8616d4739cbf11d9a707f4371c9c34f0&amp;refType=RP&amp;originationContext=document&amp;vr=3.0&amp;rs=cblt1.0&amp;transitionType=DocumentItem&amp;contextData=(sc.Default)" TargetMode="External"/><Relationship Id="rId44" Type="http://schemas.openxmlformats.org/officeDocument/2006/relationships/hyperlink" Target="https://www.westlaw.com/Link/Document/FullText?findType=Y&amp;serNum=1852191147&amp;pubNum=780&amp;originatingDoc=I8616d4739cbf11d9a707f4371c9c34f0&amp;refType=RP&amp;originationContext=document&amp;vr=3.0&amp;rs=cblt1.0&amp;transitionType=DocumentItem&amp;contextData=(sc.Default)" TargetMode="External"/><Relationship Id="rId52" Type="http://schemas.openxmlformats.org/officeDocument/2006/relationships/hyperlink" Target="https://www.westlaw.com/Link/Document/FullText?findType=Y&amp;serNum=1884180197&amp;pubNum=780&amp;originatingDoc=I8616d4739cbf11d9a707f4371c9c34f0&amp;refType=RP&amp;originationContext=document&amp;vr=3.0&amp;rs=cblt1.0&amp;transitionType=DocumentItem&amp;contextData=(sc.Default)" TargetMode="External"/><Relationship Id="rId60" Type="http://schemas.openxmlformats.org/officeDocument/2006/relationships/hyperlink" Target="https://www.newamericanscampaign.org/" TargetMode="External"/><Relationship Id="rId4" Type="http://schemas.openxmlformats.org/officeDocument/2006/relationships/settings" Target="settings.xml"/><Relationship Id="rId9" Type="http://schemas.openxmlformats.org/officeDocument/2006/relationships/hyperlink" Target="https://www.westlaw.com/Link/Document/FullText?findType=Y&amp;serNum=1884180130&amp;pubNum=708&amp;originatingDoc=I8616d4739cbf11d9a707f4371c9c34f0&amp;refType=RP&amp;originationContext=document&amp;vr=3.0&amp;rs=cblt1.0&amp;transitionType=DocumentItem&amp;contextData=(sc.Default)"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5Zgs+MkaMOgg64qI8XD5xtVBDw==">CgMxLjA4AHIhMXlteHUzUnozOXh2ck1NRW14MDJQdVFEVTlPNXJyRFBD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32</Pages>
  <Words>22745</Words>
  <Characters>129647</Characters>
  <Application>Microsoft Office Word</Application>
  <DocSecurity>0</DocSecurity>
  <Lines>1080</Lines>
  <Paragraphs>304</Paragraphs>
  <ScaleCrop>false</ScaleCrop>
  <Company/>
  <LinksUpToDate>false</LinksUpToDate>
  <CharactersWithSpaces>152088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Billie SFO</dc:creator>
  <cp:lastModifiedBy>Bill Hing</cp:lastModifiedBy>
  <cp:revision>2</cp:revision>
  <dcterms:created xsi:type="dcterms:W3CDTF">2025-07-16T17:51:00Z</dcterms:created>
  <dcterms:modified xsi:type="dcterms:W3CDTF">2026-02-20T04:44:00Z</dcterms:modified>
</cp:coreProperties>
</file>